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07B47" w:rsidRPr="00707B47" w:rsidTr="007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B47" w:rsidRPr="00707B47" w:rsidRDefault="00707B47" w:rsidP="00707B47">
            <w:pPr>
              <w:spacing w:after="0" w:line="240" w:lineRule="auto"/>
              <w:jc w:val="right"/>
              <w:rPr>
                <w:rFonts w:ascii="&amp;#39" w:eastAsia="Times New Roman" w:hAnsi="&amp;#39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9019"/>
            </w:tblGrid>
            <w:tr w:rsidR="00707B47" w:rsidRPr="00707B47">
              <w:trPr>
                <w:tblHeader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876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rHeight w:val="144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u-HU"/>
                    </w:rPr>
                    <w:t>KÖZBESZERZÉSI ÉRTESÍTŐ</w:t>
                  </w:r>
                </w:p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u-HU"/>
                    </w:rPr>
                    <w:t>A Közbeszerzési Hatóság Hivatalos Lapja</w:t>
                  </w:r>
                </w:p>
              </w:tc>
            </w:tr>
          </w:tbl>
          <w:p w:rsidR="00707B47" w:rsidRPr="00707B47" w:rsidRDefault="00707B47" w:rsidP="00707B47">
            <w:pPr>
              <w:spacing w:after="0" w:line="240" w:lineRule="auto"/>
              <w:ind w:left="4245"/>
              <w:jc w:val="center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 xml:space="preserve">tájékoztató </w:t>
            </w:r>
          </w:p>
          <w:p w:rsidR="00707B47" w:rsidRPr="00707B47" w:rsidRDefault="00707B47" w:rsidP="00707B47">
            <w:pPr>
              <w:spacing w:after="0" w:line="240" w:lineRule="auto"/>
              <w:ind w:left="4245"/>
              <w:jc w:val="center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az eljárás eredményéről</w:t>
            </w: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p w:rsidR="00707B47" w:rsidRPr="00707B47" w:rsidRDefault="00707B47" w:rsidP="00707B47">
            <w:pPr>
              <w:spacing w:after="0" w:line="240" w:lineRule="auto"/>
              <w:ind w:left="4245"/>
              <w:jc w:val="center"/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 </w:t>
            </w:r>
          </w:p>
          <w:p w:rsidR="00707B47" w:rsidRPr="00707B47" w:rsidRDefault="00707B47" w:rsidP="00707B47">
            <w:pPr>
              <w:spacing w:after="0" w:line="240" w:lineRule="auto"/>
              <w:ind w:left="4245"/>
              <w:jc w:val="center"/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 </w:t>
            </w:r>
          </w:p>
          <w:p w:rsidR="00707B47" w:rsidRPr="00707B47" w:rsidRDefault="00707B47" w:rsidP="00707B47">
            <w:pPr>
              <w:spacing w:after="0" w:line="240" w:lineRule="auto"/>
              <w:ind w:left="4245"/>
              <w:jc w:val="center"/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 </w:t>
            </w:r>
          </w:p>
          <w:p w:rsidR="00707B47" w:rsidRPr="00707B47" w:rsidRDefault="00707B47" w:rsidP="00707B47">
            <w:pPr>
              <w:spacing w:after="0" w:line="240" w:lineRule="auto"/>
              <w:ind w:left="4245"/>
              <w:jc w:val="center"/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 </w:t>
            </w:r>
          </w:p>
          <w:p w:rsidR="00707B47" w:rsidRPr="00707B47" w:rsidRDefault="00707B47" w:rsidP="00707B47">
            <w:pPr>
              <w:spacing w:after="0" w:line="240" w:lineRule="auto"/>
              <w:ind w:left="4245"/>
              <w:jc w:val="center"/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 </w:t>
            </w:r>
          </w:p>
          <w:p w:rsidR="00707B47" w:rsidRPr="00707B47" w:rsidRDefault="00707B47" w:rsidP="00707B47">
            <w:pPr>
              <w:spacing w:after="360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I. SZAKASZ: AJÁNLATKÉRŐ</w:t>
            </w:r>
          </w:p>
          <w:p w:rsidR="00707B47" w:rsidRPr="00707B47" w:rsidRDefault="00707B47" w:rsidP="00707B47">
            <w:pPr>
              <w:spacing w:after="120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 xml:space="preserve">I.1) Név, cím és kapcsolattartási </w:t>
            </w:r>
            <w:proofErr w:type="gramStart"/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pont(</w:t>
            </w:r>
            <w:proofErr w:type="gramEnd"/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ok)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3751"/>
              <w:gridCol w:w="2608"/>
            </w:tblGrid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Hivatalos név: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Fővárosi Közterület-fenntartó </w:t>
                  </w:r>
                  <w:proofErr w:type="spellStart"/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>Zrt</w:t>
                  </w:r>
                  <w:proofErr w:type="spellEnd"/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. </w:t>
                  </w: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Postai cím: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Alföldi u. 7. </w:t>
                  </w: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Város/Község 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Budapest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Postai irányítószám: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1081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Ország: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HU </w:t>
                  </w: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Kapcsolattartási </w:t>
                  </w:r>
                  <w:proofErr w:type="gramStart"/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pont(</w:t>
                  </w:r>
                  <w:proofErr w:type="gramEnd"/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ok):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</w: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Címzett: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Sándor Csilla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Telefon: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+36 14596785 </w:t>
                  </w: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E-mail: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sandorc@fkf.hu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Fax: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+36 14596846 </w:t>
                  </w: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Internetcím(</w:t>
                  </w:r>
                  <w:proofErr w:type="spellStart"/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ek</w:t>
                  </w:r>
                  <w:proofErr w:type="spellEnd"/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) </w:t>
                  </w: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Az ajánlatkérő általános címe </w:t>
                  </w:r>
                  <w:r w:rsidRPr="00707B47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(URL)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>: www.fkf.hu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</w:r>
                  <w:proofErr w:type="gramStart"/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felhasználói oldal címe </w:t>
                  </w:r>
                  <w:r w:rsidRPr="00707B47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(URL)</w:t>
                  </w:r>
                  <w:r w:rsidRPr="00707B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: </w:t>
                  </w:r>
                </w:p>
              </w:tc>
            </w:tr>
          </w:tbl>
          <w:p w:rsidR="00707B47" w:rsidRPr="00707B47" w:rsidRDefault="00707B47" w:rsidP="00707B4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707B47" w:rsidRPr="00707B47" w:rsidRDefault="00707B47" w:rsidP="00707B47">
            <w:pPr>
              <w:spacing w:before="120" w:after="120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 </w:t>
            </w:r>
          </w:p>
          <w:p w:rsidR="00707B47" w:rsidRPr="00707B47" w:rsidRDefault="00707B47" w:rsidP="00707B47">
            <w:pPr>
              <w:spacing w:before="120" w:after="120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I.2.) Az ajánlatkérő típusa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551"/>
            </w:tblGrid>
            <w:tr w:rsidR="00707B47" w:rsidRPr="00707B47">
              <w:trPr>
                <w:tblHeader/>
                <w:tblCellSpacing w:w="0" w:type="dxa"/>
              </w:trPr>
              <w:tc>
                <w:tcPr>
                  <w:tcW w:w="4545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4575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Központi szintű [ ]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Közszolgáltató [ ] </w:t>
                  </w: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Regionális/helyi szintű [ ]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Támogatott szervezet [Kbt. 6. § (1) bekezdés g) pont] [ ] </w:t>
                  </w: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Közjogi szervezet [x]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Egyéb [ ] </w:t>
                  </w:r>
                </w:p>
              </w:tc>
            </w:tr>
          </w:tbl>
          <w:p w:rsidR="00707B47" w:rsidRPr="00707B47" w:rsidRDefault="00707B47" w:rsidP="00707B47">
            <w:pPr>
              <w:spacing w:after="0" w:line="240" w:lineRule="auto"/>
              <w:jc w:val="both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  <w:p w:rsidR="00707B47" w:rsidRPr="00707B47" w:rsidRDefault="00707B47" w:rsidP="00707B47">
            <w:pPr>
              <w:spacing w:after="120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I.3.) Fő tevékenység</w:t>
            </w:r>
          </w:p>
          <w:p w:rsidR="00707B47" w:rsidRPr="00707B47" w:rsidRDefault="00707B47" w:rsidP="00707B47">
            <w:pPr>
              <w:spacing w:after="120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I.3.1) Klasszikus ajánlatkérők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551"/>
            </w:tblGrid>
            <w:tr w:rsidR="00707B47" w:rsidRPr="00707B47">
              <w:trPr>
                <w:tblHeader/>
                <w:tblCellSpacing w:w="0" w:type="dxa"/>
              </w:trPr>
              <w:tc>
                <w:tcPr>
                  <w:tcW w:w="4545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4575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[x] Általános közszolgáltatások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Lakásszolgáltatás és közösségi rekreáció</w:t>
                  </w: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Honvédelem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Szociális védelem</w:t>
                  </w: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Közrend és biztonság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Szabadidő, kultúra és vallás</w:t>
                  </w: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[x] Környezetvédelem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Oktatás</w:t>
                  </w: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Gazdasági és pénzügyek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Egyéb (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nevezze meg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): </w:t>
                  </w: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>[ ] Egészségügy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</w:tr>
          </w:tbl>
          <w:p w:rsidR="00707B47" w:rsidRPr="00707B47" w:rsidRDefault="00707B47" w:rsidP="00707B47">
            <w:pPr>
              <w:spacing w:after="0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 </w:t>
            </w:r>
          </w:p>
          <w:p w:rsidR="00707B47" w:rsidRPr="00707B47" w:rsidRDefault="00707B47" w:rsidP="00707B47">
            <w:pPr>
              <w:spacing w:after="0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  <w:p w:rsidR="00707B47" w:rsidRPr="00707B47" w:rsidRDefault="00707B47" w:rsidP="00707B47">
            <w:pPr>
              <w:spacing w:after="120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I.3.2) Közszolgáltató ajánlatkérők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4"/>
              <w:gridCol w:w="4698"/>
            </w:tblGrid>
            <w:tr w:rsidR="00707B47" w:rsidRPr="00707B47">
              <w:trPr>
                <w:tblHeader/>
                <w:tblCellSpacing w:w="0" w:type="dxa"/>
              </w:trPr>
              <w:tc>
                <w:tcPr>
                  <w:tcW w:w="4545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4575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Gáz- és hőenergia termelése, szállítása és elosztása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Vasúti szolgáltatások</w:t>
                  </w: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Villamos energia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Városi vasúti, villamos-, trolibusz- és autóbusz szolgáltatások </w:t>
                  </w: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Földgáz és kőolaj feltárása és kitermelése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Kikötői tevékenységek</w:t>
                  </w: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Szén és más szilárd tüzelőanyag feltárása és kitermelése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Repülőtéri tevékenységek</w:t>
                  </w: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Víz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Egyéb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(nevezze meg)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: </w:t>
                  </w: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Postai szolgáltatások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</w:tr>
          </w:tbl>
          <w:p w:rsidR="00707B47" w:rsidRPr="00707B47" w:rsidRDefault="00707B47" w:rsidP="00707B47">
            <w:pPr>
              <w:spacing w:after="0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  <w:p w:rsidR="00707B47" w:rsidRPr="00707B47" w:rsidRDefault="00707B47" w:rsidP="00707B47">
            <w:pPr>
              <w:spacing w:after="0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07B47" w:rsidRPr="00707B47">
              <w:trPr>
                <w:tblHeader/>
                <w:tblCellSpacing w:w="0" w:type="dxa"/>
              </w:trPr>
              <w:tc>
                <w:tcPr>
                  <w:tcW w:w="903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ind w:left="240" w:hanging="240"/>
                    <w:jc w:val="both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I. 4.) Beszerzés más ajánlatkérők nevében</w:t>
                  </w:r>
                </w:p>
                <w:p w:rsidR="00707B47" w:rsidRPr="00707B47" w:rsidRDefault="00707B47" w:rsidP="00707B47">
                  <w:pPr>
                    <w:spacing w:after="0" w:line="240" w:lineRule="auto"/>
                    <w:ind w:left="240" w:hanging="240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Az ajánlatkérő más ajánlatkérők nevében végzi a beszerzést: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 ] igen [x] nem </w:t>
                  </w:r>
                </w:p>
                <w:p w:rsidR="00707B47" w:rsidRPr="00707B47" w:rsidRDefault="00707B47" w:rsidP="00707B47">
                  <w:pPr>
                    <w:spacing w:after="0" w:line="240" w:lineRule="auto"/>
                    <w:ind w:left="240" w:hanging="240"/>
                    <w:jc w:val="both"/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 xml:space="preserve">(Igen válasz esetén, ezekre az ajánlatkérőkre vonatkozóan további információkat az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. mellékletben adhat meg.)</w:t>
                  </w:r>
                </w:p>
              </w:tc>
            </w:tr>
          </w:tbl>
          <w:p w:rsidR="00707B47" w:rsidRPr="00707B47" w:rsidRDefault="00707B47" w:rsidP="00707B47">
            <w:pPr>
              <w:spacing w:after="0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07B47" w:rsidRPr="00707B47" w:rsidTr="007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B47" w:rsidRPr="00707B47" w:rsidRDefault="00707B47" w:rsidP="00707B47">
            <w:pPr>
              <w:spacing w:after="0" w:line="240" w:lineRule="auto"/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II. SZAKASZ: A SZERZŐDÉS TÁRGYA</w:t>
            </w:r>
          </w:p>
          <w:p w:rsidR="00707B47" w:rsidRPr="00707B47" w:rsidRDefault="00707B47" w:rsidP="00707B47">
            <w:pPr>
              <w:spacing w:before="120" w:after="120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II.1) </w:t>
            </w: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Meghatározás</w:t>
            </w: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1796"/>
              <w:gridCol w:w="1669"/>
              <w:gridCol w:w="415"/>
              <w:gridCol w:w="2931"/>
            </w:tblGrid>
            <w:tr w:rsidR="00707B47" w:rsidRPr="00707B47">
              <w:trPr>
                <w:tblHeader/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62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72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II.1.1)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szerződéshez rendelt elnevezés: </w:t>
                  </w:r>
                </w:p>
                <w:p w:rsidR="00707B47" w:rsidRPr="00707B47" w:rsidRDefault="0093078D" w:rsidP="0093078D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Vállalkozás</w:t>
                  </w:r>
                  <w:r w:rsidR="00707B47"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i szerződés </w:t>
                  </w: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II.1.2)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szerződés típusa és a teljesítés helye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br/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smallCaps/>
                      <w:color w:val="000000"/>
                      <w:sz w:val="18"/>
                      <w:szCs w:val="18"/>
                      <w:lang w:eastAsia="hu-HU"/>
                    </w:rPr>
                    <w:t>(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Csak azt a kategóriát válassza – építési beruházás, árubeszerzés vagy szolgáltatás megrendelés –, amelyik a leginkább megfelel a szerződés vagy közbeszerzés(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ek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) tárgyának)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12899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</w:t>
                  </w:r>
                  <w:r w:rsidR="00712899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x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] Építési beruházás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 ] Árubeszerzés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12899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 </w:t>
                  </w:r>
                  <w:r w:rsidR="00707B47"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] Szolgáltatás megrendelés</w:t>
                  </w:r>
                  <w:r w:rsidR="00707B47"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707B47" w:rsidRPr="00707B47">
              <w:trPr>
                <w:trHeight w:val="390"/>
                <w:tblCellSpacing w:w="0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</w:t>
                  </w:r>
                  <w:r w:rsidR="00712899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x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] Kivitelezés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Tervezés és kivitelezés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Kivitelezés, bármilyen eszközzel, módon, az ajánlatkérő által meghatározott követelményeknek megfelelően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Adásvétel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Lízing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Bérlet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Részletvétel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Ezek kombinációja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S</w:t>
                  </w:r>
                  <w:r w:rsidR="00712899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zolgáltatási kategória száma </w:t>
                  </w:r>
                </w:p>
              </w:tc>
            </w:tr>
            <w:tr w:rsidR="00707B47" w:rsidRPr="00707B47">
              <w:trPr>
                <w:trHeight w:val="1215"/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(az 1–27. szolgáltatási kategóriákat lásd a Kbt. 3. és 4. mellékletében)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  <w:p w:rsidR="00707B47" w:rsidRPr="00707B47" w:rsidRDefault="00707B47" w:rsidP="00707B47">
                  <w:pPr>
                    <w:spacing w:before="225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</w:tr>
            <w:tr w:rsidR="00707B47" w:rsidRPr="00707B47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225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 ] Építési koncesszió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225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 ] Szolgáltatási koncesszió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707B47" w:rsidRPr="00707B47">
              <w:trPr>
                <w:trHeight w:val="165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 teljesítés helye: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FKF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Zrt.-</w:t>
                  </w:r>
                  <w:r w:rsidR="00712899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Budapest</w:t>
                  </w:r>
                  <w:proofErr w:type="spellEnd"/>
                  <w:r w:rsidR="00712899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, Ipacsfa u. 12.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</w:r>
                </w:p>
                <w:p w:rsidR="00707B47" w:rsidRPr="00707B47" w:rsidRDefault="00707B47" w:rsidP="00712899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NUTS-kód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: HU10</w:t>
                  </w:r>
                  <w:r w:rsidR="00712899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1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707B47" w:rsidRPr="00707B47">
              <w:trPr>
                <w:trHeight w:val="555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II.1.3)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Keretmegállapodásra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és dinamikus beszerzési rendszerre (DBR) vonatkozó információk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A hirdetmény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keretmegállapodás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megkötésére irányul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A hirdetmény dinamikus beszerzési rendszeren (DBR) alapuló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szerződés(</w:t>
                  </w:r>
                  <w:proofErr w:type="spellStart"/>
                  <w:proofErr w:type="gram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ek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)re irányul</w:t>
                  </w:r>
                </w:p>
              </w:tc>
            </w:tr>
            <w:tr w:rsidR="00707B47" w:rsidRPr="00707B47">
              <w:trPr>
                <w:trHeight w:val="1065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 xml:space="preserve">II.1.4)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szerződés vagy a közbeszerzés(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ek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) tárgya, mennyisége:</w:t>
                  </w:r>
                </w:p>
                <w:p w:rsidR="00707B47" w:rsidRPr="0093078D" w:rsidRDefault="0093078D" w:rsidP="009307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3078D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Budapest,</w:t>
                  </w:r>
                  <w:proofErr w:type="gramEnd"/>
                  <w:r w:rsidRPr="0093078D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XVIII. ker. Ipacsfa utca 12. szám alatti telephelyről építési törmelék elszállítása, tereprendezés, deponált aszfalt törése, vasbeton-felület bontási munkái</w:t>
                  </w:r>
                  <w:bookmarkStart w:id="0" w:name="_GoBack"/>
                  <w:bookmarkEnd w:id="0"/>
                </w:p>
              </w:tc>
            </w:tr>
            <w:tr w:rsidR="00707B47" w:rsidRPr="00707B47">
              <w:trPr>
                <w:trHeight w:val="48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 xml:space="preserve">II.1.5)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Közös Közbeszerzési Szójegyzék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(CPV) </w:t>
                  </w:r>
                </w:p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  <w:gridCol w:w="1497"/>
                    <w:gridCol w:w="138"/>
                    <w:gridCol w:w="3814"/>
                  </w:tblGrid>
                  <w:tr w:rsidR="00707B47" w:rsidRPr="00707B4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7B47" w:rsidRPr="00707B47" w:rsidRDefault="00707B47" w:rsidP="00707B4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7B47" w:rsidRPr="00707B47" w:rsidRDefault="00707B47" w:rsidP="00707B4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Fő szójegyzék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7B47" w:rsidRPr="00707B47" w:rsidRDefault="00707B47" w:rsidP="00707B4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7B47" w:rsidRPr="00707B47" w:rsidRDefault="00707B47" w:rsidP="00707B4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Kiegészítő szójegyzék</w:t>
                        </w:r>
                        <w:r w:rsidRPr="00707B4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r w:rsidRPr="00707B47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hu-HU"/>
                          </w:rPr>
                          <w:t>(adott esetben)</w:t>
                        </w:r>
                      </w:p>
                    </w:tc>
                  </w:tr>
                  <w:tr w:rsidR="00707B47" w:rsidRPr="00707B47" w:rsidTr="00712899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7B47" w:rsidRPr="00707B47" w:rsidRDefault="00707B47" w:rsidP="00707B4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Fő tárgy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7B47" w:rsidRPr="00707B47" w:rsidRDefault="00712899" w:rsidP="0071289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1289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45111000-8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7B47" w:rsidRPr="00707B47" w:rsidRDefault="00707B47" w:rsidP="00707B4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7B47" w:rsidRPr="00707B47" w:rsidRDefault="00707B47" w:rsidP="00707B4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707B47" w:rsidRPr="00707B47" w:rsidRDefault="00707B47" w:rsidP="00707B47">
            <w:pPr>
              <w:spacing w:before="120" w:after="120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II.2) </w:t>
            </w:r>
            <w:proofErr w:type="gramStart"/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 xml:space="preserve"> szerződés(</w:t>
            </w:r>
            <w:proofErr w:type="spellStart"/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ek</w:t>
            </w:r>
            <w:proofErr w:type="spellEnd"/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) végleges összértéke</w:t>
            </w: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807"/>
              <w:gridCol w:w="834"/>
              <w:gridCol w:w="696"/>
            </w:tblGrid>
            <w:tr w:rsidR="00707B47" w:rsidRPr="00707B47">
              <w:trPr>
                <w:tblHeader/>
                <w:tblCellSpacing w:w="0" w:type="dxa"/>
              </w:trPr>
              <w:tc>
                <w:tcPr>
                  <w:tcW w:w="684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rHeight w:val="51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II.2.1) A szerződés(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ek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) végleges összértéke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(Csak a végleges összértéket kérjük megadni számokkal, az összes szerződést, részt, meghosszabbítást és opciót beleértve; az egyes szerződésekre vonatkozó információkkal kapcsolatban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IV.szakaszt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 xml:space="preserve"> (Az eljárás eredménye) kérjük kitölteni)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Áfa nélkül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Áfával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Áfa (%)</w:t>
                  </w:r>
                </w:p>
              </w:tc>
            </w:tr>
            <w:tr w:rsidR="00707B47" w:rsidRPr="00707B47">
              <w:trPr>
                <w:trHeight w:val="81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Érték: Pénznem: </w:t>
                  </w:r>
                  <w:r w:rsidR="00712899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15</w:t>
                  </w:r>
                  <w:r w:rsidR="001B67C0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 934 300 Ft.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1B67C0">
                  <w:pPr>
                    <w:spacing w:before="120" w:after="120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</w:t>
                  </w:r>
                  <w:r w:rsidR="001B67C0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x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]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, </w:t>
                  </w:r>
                </w:p>
              </w:tc>
            </w:tr>
            <w:tr w:rsidR="00707B47" w:rsidRPr="00707B47">
              <w:trPr>
                <w:trHeight w:val="810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II.2.2.) Építési koncesszió esetén az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ellenszolgáltatás leírása: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II.2.3.) Szolgáltatási koncesszió esetén az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ellenszolgáltatás leírása:</w:t>
                  </w:r>
                </w:p>
              </w:tc>
            </w:tr>
          </w:tbl>
          <w:p w:rsidR="00707B47" w:rsidRPr="00707B47" w:rsidRDefault="00707B47" w:rsidP="00707B47">
            <w:pPr>
              <w:spacing w:after="360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07B47" w:rsidRPr="00707B47" w:rsidTr="007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B47" w:rsidRPr="00707B47" w:rsidRDefault="00707B47" w:rsidP="00707B47">
            <w:pPr>
              <w:spacing w:after="360" w:line="240" w:lineRule="auto"/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 xml:space="preserve">III. SZAKASZ: ELJÁRÁS </w:t>
            </w:r>
          </w:p>
          <w:p w:rsidR="00707B47" w:rsidRPr="00707B47" w:rsidRDefault="00707B47" w:rsidP="00707B47">
            <w:pPr>
              <w:spacing w:before="120" w:after="120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III.1) </w:t>
            </w: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 xml:space="preserve">Az eljárás fajtája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4543"/>
            </w:tblGrid>
            <w:tr w:rsidR="00707B47" w:rsidRPr="00707B47">
              <w:trPr>
                <w:tblHeader/>
                <w:tblCellSpacing w:w="0" w:type="dxa"/>
              </w:trPr>
              <w:tc>
                <w:tcPr>
                  <w:tcW w:w="504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III.1.1) Az eljárás fajtája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707B47" w:rsidRPr="00707B47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Klasszikus ajánlatkérők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Közszolgáltató ajánlatkérők</w:t>
                  </w:r>
                </w:p>
              </w:tc>
            </w:tr>
            <w:tr w:rsidR="00707B47" w:rsidRPr="00707B47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A Kbt. 123. §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-a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szerinti, szabadon kialakított eljárás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A Kbt. 123. §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-a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szerinti, szabadon kialakított eljárás</w:t>
                  </w:r>
                </w:p>
              </w:tc>
            </w:tr>
            <w:tr w:rsidR="00707B47" w:rsidRPr="00707B47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 Kbt. 121. § (1) b) pontja szerinti, a Kbt. Második Részében meghatározott szabályok alapján lefolytatott eljárás az alábbiak szerint: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 Kbt. 121. § (1) b) pontja szerinti, a Kbt. Második Részében meghatározott szabályok alapján lefolytatott eljárás az alábbiak szerint:</w:t>
                  </w:r>
                </w:p>
              </w:tc>
            </w:tr>
            <w:tr w:rsidR="00707B47" w:rsidRPr="00707B47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Nyílt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Meghívásos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Gyorsított meghívásos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Versenypárbeszéd 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Hirdetmény közzétételével induló tárgyalásos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Gyorsított tárgyalásos 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[x] Hirdetmény nélküli tárgyalásos 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Keretmegállapodásos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, az eljárás első részében nyílt 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Keretmegállapodásos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, az eljárás első részében meghívásos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Keretmegállapodásos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, az eljárás első részében hirdetménnyel induló tárgyalásos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Keretmegállapodásos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, az eljárás első részében hirdetmény nélküli tárgyalásos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Nyílt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Meghívásos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Előminősítési hirdetménnyel meghirdetett meghívásos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Előminősítési hirdetménnyel meghirdetett tárgyalásos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Hirdetmény közzétételével induló tárgyalásos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Hirdetmény nélküli tárgyalásos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Keretmegállapodásos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, az eljárás első részében nyílt 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Keretmegállapodásos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, az eljárás első részében meghívásos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Keretmegállapodásos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, az eljárás első részében hirdetménnyel induló tárgyalásos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Keretmegállapodásos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, az eljárás első részében hirdetmény nélküli tárgyalásos</w:t>
                  </w: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 xml:space="preserve">III. 1.1.2.) A hirdetmény nélküli tárgyalásos eljárás, valamint a gyorsított eljárás alkalmazásának indokolása: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)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: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Ajánlatkérő a Kbt. 122. § (7) bekezdése a) pontja alapján, hirdetmény közzététele nélkül induló tárgyalásos eljárást alkalmaz, mert annak feltételei maradéktalanul fennállnak (szolgáltatás becsült értéke nem éri el a huszonöt millió forintot). </w:t>
                  </w:r>
                </w:p>
              </w:tc>
            </w:tr>
          </w:tbl>
          <w:p w:rsidR="00707B47" w:rsidRPr="00707B47" w:rsidRDefault="00707B47" w:rsidP="00707B47">
            <w:pPr>
              <w:spacing w:before="120" w:after="120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  <w:p w:rsidR="00707B47" w:rsidRPr="00707B47" w:rsidRDefault="00707B47" w:rsidP="00707B47">
            <w:pPr>
              <w:spacing w:before="120" w:after="120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III.2) Értékelési szempontok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1302"/>
              <w:gridCol w:w="3358"/>
              <w:gridCol w:w="1162"/>
            </w:tblGrid>
            <w:tr w:rsidR="00707B47" w:rsidRPr="00707B47">
              <w:trPr>
                <w:tblHeader/>
                <w:tblCellSpacing w:w="0" w:type="dxa"/>
              </w:trPr>
              <w:tc>
                <w:tcPr>
                  <w:tcW w:w="360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III.2.1) Értékelési szempontok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(csak a megfelelőt jelölje meg)</w:t>
                  </w:r>
                </w:p>
              </w:tc>
            </w:tr>
            <w:tr w:rsidR="00707B47" w:rsidRPr="00707B47">
              <w:trPr>
                <w:trHeight w:val="660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[x]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legalacsonyabb összegű ellenszolgáltatás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VAGY (adott esetben a Kbt. 123. §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-a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 xml:space="preserve"> szerinti eljárásban)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Az összességében legelőnyösebb ajánlat a következő részszempontok alapján</w:t>
                  </w:r>
                </w:p>
              </w:tc>
            </w:tr>
            <w:tr w:rsidR="00707B47" w:rsidRPr="00707B47">
              <w:trPr>
                <w:trHeight w:val="660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VAGY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Egyéb: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707B47" w:rsidRPr="00707B47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III.2.2) Elektronikus árlejtésre vonatkozó információk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Elektronikus árlejtést alkalmaztak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 ] igen [x] nem </w:t>
                  </w:r>
                </w:p>
              </w:tc>
            </w:tr>
          </w:tbl>
          <w:p w:rsidR="00707B47" w:rsidRPr="00707B47" w:rsidRDefault="00707B47" w:rsidP="00707B47">
            <w:pPr>
              <w:spacing w:before="120" w:after="120" w:line="240" w:lineRule="auto"/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  <w:p w:rsidR="00707B47" w:rsidRPr="00707B47" w:rsidRDefault="00707B47" w:rsidP="00707B47">
            <w:pPr>
              <w:spacing w:before="120" w:after="120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III.3) </w:t>
            </w: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Adminisztratív információk</w:t>
            </w: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07B47" w:rsidRPr="00707B47">
              <w:trPr>
                <w:tblHeader/>
                <w:tblCellSpacing w:w="0" w:type="dxa"/>
              </w:trPr>
              <w:tc>
                <w:tcPr>
                  <w:tcW w:w="1011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III.3.1) Az ajánlatkérő által az aktához rendelt hivatkozási szám: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707B47" w:rsidRPr="00707B47" w:rsidRDefault="00707B47" w:rsidP="001B67C0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K10</w:t>
                  </w:r>
                  <w:r w:rsidR="001B67C0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55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707B47" w:rsidRPr="00707B47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III.3.2) Az adott szerződésre vonatkozóan sor került korábbi közzétételre a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HL-ben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[ ] igen [x] nem </w:t>
                  </w:r>
                </w:p>
              </w:tc>
            </w:tr>
            <w:tr w:rsidR="00707B47" w:rsidRPr="00707B47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(Igen válasz esetén töltse ki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a megfelelő rovatokat)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Előzetes tájékoztató [ ] Felhasználói oldalon közzétett hirdetmény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Hivatalos Lapban: /S - 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Ajánlati/részvételi felhívás [ ] Dinamikus beszerzési rendszerben használt egyszerűsített hirdetmény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Hivatalos Lapban: /S - 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Egyéb korábbi közzététel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Hivatalos Lapban: /S - 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Hivatalos Lapban: /S - 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707B47" w:rsidRPr="00707B47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III.3.3) Az adott szerződésre vonatkozóan sor került korábbi közzétételre a 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KÉ-ben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[ ] igen [x] nem </w:t>
                  </w:r>
                </w:p>
              </w:tc>
            </w:tr>
            <w:tr w:rsidR="00707B47" w:rsidRPr="00707B47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(Igen válasz esetén töltse ki a megfelelő rovatokat)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Előzetes tájékoztató [ ] Felhasználói oldalon közzétett hirdetmény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Közbeszerzési Értesítőben: /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KÉ-szám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/évszám)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 xml:space="preserve">A hirdetmény közzétételének dátuma: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Eljárást megindító, illetve meghirdető felhívás [ ] Dinamikus beszerzési rendszerben használt egyszerűsített hirdetmény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Közbeszerzési Értesítőben: /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KÉ-szám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/évszám)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Egyéb korábbi közzététel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Közbeszerzési Értesítőben: /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KÉ-szám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/évszám)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Közbeszerzési Értesítőben: /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KÉ-szám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/évszám)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</w:tbl>
          <w:p w:rsidR="00707B47" w:rsidRPr="00707B47" w:rsidRDefault="00707B47" w:rsidP="00707B47">
            <w:pPr>
              <w:spacing w:after="360" w:line="240" w:lineRule="auto"/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 </w:t>
            </w:r>
          </w:p>
        </w:tc>
      </w:tr>
      <w:tr w:rsidR="00707B47" w:rsidRPr="00707B47" w:rsidTr="007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B47" w:rsidRPr="00707B47" w:rsidRDefault="00707B47" w:rsidP="00707B47">
            <w:pPr>
              <w:spacing w:after="360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 xml:space="preserve">IV. </w:t>
            </w:r>
            <w:proofErr w:type="gramStart"/>
            <w:r w:rsidRPr="00707B47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szakasz</w:t>
            </w: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>:</w:t>
            </w:r>
            <w:proofErr w:type="gramEnd"/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AZ ELJÁRÁS EREDMÉNYE</w:t>
            </w: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p w:rsidR="00707B47" w:rsidRPr="00707B47" w:rsidRDefault="00707B47" w:rsidP="00707B47">
            <w:pPr>
              <w:spacing w:before="120" w:after="120" w:line="240" w:lineRule="auto"/>
              <w:rPr>
                <w:rFonts w:ascii="&amp;#39" w:eastAsia="Times New Roman" w:hAnsi="&amp;#39" w:cs="Times New Roman"/>
                <w:small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 xml:space="preserve">A Szerződés száma: Rész száma: </w:t>
            </w:r>
            <w:r w:rsidRPr="00707B47">
              <w:rPr>
                <w:rFonts w:ascii="&amp;#39" w:eastAsia="Times New Roman" w:hAnsi="&amp;#39" w:cs="Times New Roman"/>
                <w:smallCaps/>
                <w:color w:val="000000"/>
                <w:sz w:val="18"/>
                <w:szCs w:val="18"/>
                <w:lang w:eastAsia="hu-HU"/>
              </w:rPr>
              <w:t xml:space="preserve">1 </w:t>
            </w:r>
            <w:r w:rsidRPr="00707B47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Elnevezés:</w:t>
            </w:r>
            <w:r w:rsidRPr="00707B47">
              <w:rPr>
                <w:rFonts w:ascii="&amp;#39" w:eastAsia="Times New Roman" w:hAnsi="&amp;#39" w:cs="Times New Roman"/>
                <w:smallCaps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636"/>
              <w:gridCol w:w="342"/>
              <w:gridCol w:w="569"/>
              <w:gridCol w:w="452"/>
              <w:gridCol w:w="335"/>
              <w:gridCol w:w="307"/>
              <w:gridCol w:w="397"/>
              <w:gridCol w:w="145"/>
              <w:gridCol w:w="43"/>
              <w:gridCol w:w="572"/>
              <w:gridCol w:w="315"/>
              <w:gridCol w:w="176"/>
              <w:gridCol w:w="981"/>
            </w:tblGrid>
            <w:tr w:rsidR="001B67C0" w:rsidRPr="00707B47">
              <w:trPr>
                <w:tblHeader/>
                <w:tblCellSpacing w:w="0" w:type="dxa"/>
              </w:trPr>
              <w:tc>
                <w:tcPr>
                  <w:tcW w:w="252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2145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555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72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 xml:space="preserve">IV.1)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Az eljárás (részajánlat-tételi lehetőség esetén az adott rész vonatkozásában) eredményes volt:</w:t>
                  </w:r>
                </w:p>
                <w:p w:rsidR="00707B47" w:rsidRPr="00707B47" w:rsidRDefault="00707B47" w:rsidP="001B67C0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</w:t>
                  </w:r>
                  <w:r w:rsidR="001B67C0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x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] igen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</w:t>
                  </w:r>
                  <w:r w:rsidR="001B67C0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]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nem </w:t>
                  </w: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IV.2) Ha az eljárás (részajánlat-tételi lehetőség esetén az adott rész vonatkozásában) eredménytelen, illetve szerződéskötésre nem került sor, ennek indoka: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IV.3) Ajánlatokra vonatkozó információk</w:t>
                  </w:r>
                </w:p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beérkezett ajánlatok száma: </w:t>
                  </w:r>
                  <w:r w:rsidR="001B67C0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3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Elektronikus úton beérkezett ajánlatok száma: </w:t>
                  </w:r>
                  <w:r w:rsidR="001B67C0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B339D8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IV.4)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szerződéskötés időpontja: </w:t>
                  </w:r>
                  <w:r w:rsidR="001B67C0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2012.05.</w:t>
                  </w:r>
                  <w:r w:rsidR="00B339D8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1</w:t>
                  </w:r>
                  <w:r w:rsidR="001B67C0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8</w:t>
                  </w: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IV.5)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 xml:space="preserve"> nyertes ajánlattevő neve és címe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707B47" w:rsidRPr="00707B47">
              <w:trPr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5"/>
                    <w:gridCol w:w="3221"/>
                    <w:gridCol w:w="2776"/>
                  </w:tblGrid>
                  <w:tr w:rsidR="00707B47" w:rsidRPr="00707B47">
                    <w:trPr>
                      <w:trHeight w:val="16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bottom w:val="single" w:sz="6" w:space="0" w:color="000000"/>
                        </w:tcBorders>
                        <w:tcMar>
                          <w:top w:w="90" w:type="dxa"/>
                          <w:left w:w="105" w:type="dxa"/>
                          <w:bottom w:w="90" w:type="dxa"/>
                          <w:right w:w="105" w:type="dxa"/>
                        </w:tcMar>
                        <w:hideMark/>
                      </w:tcPr>
                      <w:p w:rsidR="00707B47" w:rsidRPr="00707B47" w:rsidRDefault="00707B47" w:rsidP="00707B47">
                        <w:pPr>
                          <w:spacing w:after="0" w:line="16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Hivatalos név</w:t>
                        </w:r>
                        <w:proofErr w:type="gramStart"/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:</w:t>
                        </w:r>
                        <w:proofErr w:type="spellStart"/>
                        <w:r w:rsidR="001B67C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Garden-System</w:t>
                        </w:r>
                        <w:proofErr w:type="spellEnd"/>
                        <w:proofErr w:type="gramEnd"/>
                        <w:r w:rsidR="001B67C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 Kft.</w:t>
                        </w:r>
                      </w:p>
                    </w:tc>
                  </w:tr>
                  <w:tr w:rsidR="00707B47" w:rsidRPr="00707B47">
                    <w:trPr>
                      <w:trHeight w:val="16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bottom w:val="single" w:sz="6" w:space="0" w:color="000000"/>
                        </w:tcBorders>
                        <w:tcMar>
                          <w:top w:w="90" w:type="dxa"/>
                          <w:left w:w="105" w:type="dxa"/>
                          <w:bottom w:w="90" w:type="dxa"/>
                          <w:right w:w="105" w:type="dxa"/>
                        </w:tcMar>
                        <w:hideMark/>
                      </w:tcPr>
                      <w:p w:rsidR="00707B47" w:rsidRPr="00707B47" w:rsidRDefault="00707B47" w:rsidP="001B67C0">
                        <w:pPr>
                          <w:spacing w:after="0" w:line="16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Postai cím:</w:t>
                        </w:r>
                        <w:r w:rsidR="001B67C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 Móra Ferenc u. 87.</w:t>
                        </w:r>
                      </w:p>
                    </w:tc>
                  </w:tr>
                  <w:tr w:rsidR="001B67C0" w:rsidRPr="00707B47">
                    <w:trPr>
                      <w:trHeight w:val="16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</w:tcBorders>
                        <w:tcMar>
                          <w:top w:w="90" w:type="dxa"/>
                          <w:left w:w="105" w:type="dxa"/>
                          <w:bottom w:w="90" w:type="dxa"/>
                          <w:right w:w="105" w:type="dxa"/>
                        </w:tcMar>
                        <w:hideMark/>
                      </w:tcPr>
                      <w:p w:rsidR="00707B47" w:rsidRPr="00707B47" w:rsidRDefault="00707B47" w:rsidP="00707B47">
                        <w:pPr>
                          <w:spacing w:after="0" w:line="16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Város/Község </w:t>
                        </w:r>
                        <w:r w:rsidR="001B67C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Kistarcsa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tcMar>
                          <w:top w:w="90" w:type="dxa"/>
                          <w:left w:w="105" w:type="dxa"/>
                          <w:bottom w:w="90" w:type="dxa"/>
                          <w:right w:w="105" w:type="dxa"/>
                        </w:tcMar>
                        <w:hideMark/>
                      </w:tcPr>
                      <w:p w:rsidR="00707B47" w:rsidRPr="00707B47" w:rsidRDefault="00707B47" w:rsidP="00707B47">
                        <w:pPr>
                          <w:spacing w:after="0" w:line="16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Postai irányítószám:</w:t>
                        </w:r>
                        <w:r w:rsidR="001B67C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2143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tcMar>
                          <w:top w:w="90" w:type="dxa"/>
                          <w:left w:w="105" w:type="dxa"/>
                          <w:bottom w:w="90" w:type="dxa"/>
                          <w:right w:w="105" w:type="dxa"/>
                        </w:tcMar>
                        <w:hideMark/>
                      </w:tcPr>
                      <w:p w:rsidR="00707B47" w:rsidRPr="00707B47" w:rsidRDefault="00707B47" w:rsidP="00707B47">
                        <w:pPr>
                          <w:spacing w:after="0" w:line="16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Ország</w:t>
                        </w:r>
                        <w:proofErr w:type="gramStart"/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:</w:t>
                        </w:r>
                        <w:r w:rsidR="001B67C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Magyarország</w:t>
                        </w:r>
                        <w:proofErr w:type="gramEnd"/>
                      </w:p>
                    </w:tc>
                  </w:tr>
                  <w:tr w:rsidR="00707B47" w:rsidRPr="00707B47">
                    <w:trPr>
                      <w:trHeight w:val="16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bottom w:val="single" w:sz="6" w:space="0" w:color="000000"/>
                        </w:tcBorders>
                        <w:tcMar>
                          <w:top w:w="90" w:type="dxa"/>
                          <w:left w:w="105" w:type="dxa"/>
                          <w:bottom w:w="90" w:type="dxa"/>
                          <w:right w:w="105" w:type="dxa"/>
                        </w:tcMar>
                        <w:hideMark/>
                      </w:tcPr>
                      <w:p w:rsidR="00707B47" w:rsidRPr="00707B47" w:rsidRDefault="00707B47" w:rsidP="00707B47">
                        <w:pPr>
                          <w:spacing w:after="0" w:line="16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tcMar>
                          <w:top w:w="90" w:type="dxa"/>
                          <w:left w:w="105" w:type="dxa"/>
                          <w:bottom w:w="90" w:type="dxa"/>
                          <w:right w:w="105" w:type="dxa"/>
                        </w:tcMar>
                        <w:hideMark/>
                      </w:tcPr>
                      <w:p w:rsidR="00707B47" w:rsidRPr="00707B47" w:rsidRDefault="00707B47" w:rsidP="00707B47">
                        <w:pPr>
                          <w:spacing w:after="0" w:line="16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Telefon:</w:t>
                        </w:r>
                      </w:p>
                    </w:tc>
                  </w:tr>
                  <w:tr w:rsidR="00707B47" w:rsidRPr="00707B47">
                    <w:trPr>
                      <w:trHeight w:val="16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</w:tcBorders>
                        <w:tcMar>
                          <w:top w:w="90" w:type="dxa"/>
                          <w:left w:w="105" w:type="dxa"/>
                          <w:bottom w:w="90" w:type="dxa"/>
                          <w:right w:w="105" w:type="dxa"/>
                        </w:tcMar>
                        <w:hideMark/>
                      </w:tcPr>
                      <w:p w:rsidR="00707B47" w:rsidRPr="00707B47" w:rsidRDefault="00707B47" w:rsidP="00707B47">
                        <w:pPr>
                          <w:spacing w:after="0" w:line="16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Internetcím (URL):</w:t>
                        </w:r>
                        <w:r w:rsidRPr="00707B4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000000"/>
                        </w:tcBorders>
                        <w:tcMar>
                          <w:top w:w="90" w:type="dxa"/>
                          <w:left w:w="105" w:type="dxa"/>
                          <w:bottom w:w="90" w:type="dxa"/>
                          <w:right w:w="105" w:type="dxa"/>
                        </w:tcMar>
                        <w:hideMark/>
                      </w:tcPr>
                      <w:p w:rsidR="00707B47" w:rsidRPr="00707B47" w:rsidRDefault="00707B47" w:rsidP="00707B47">
                        <w:pPr>
                          <w:spacing w:after="0" w:line="16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707B4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Fax:</w:t>
                        </w:r>
                      </w:p>
                    </w:tc>
                  </w:tr>
                </w:tbl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rHeight w:val="315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IV.6)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 xml:space="preserve"> szerződés értékére vonatkozó információk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(csak számokkal)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707B47" w:rsidRPr="00707B47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Áfa nélkül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Áfával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Áfa (%)</w:t>
                  </w:r>
                </w:p>
              </w:tc>
            </w:tr>
            <w:tr w:rsidR="00707B47" w:rsidRPr="00707B47">
              <w:trPr>
                <w:trHeight w:val="870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A szerződés eredetileg becsült összértéke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Érték: Pénznem: </w:t>
                  </w:r>
                  <w:r w:rsidR="001B67C0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16 700 000,-HUF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1B67C0">
                  <w:pPr>
                    <w:spacing w:before="120" w:after="120" w:line="240" w:lineRule="auto"/>
                    <w:jc w:val="center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</w:t>
                  </w:r>
                  <w:r w:rsidR="001B67C0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x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]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, </w:t>
                  </w:r>
                </w:p>
              </w:tc>
            </w:tr>
            <w:tr w:rsidR="00707B47" w:rsidRPr="00707B47">
              <w:trPr>
                <w:trHeight w:val="1335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A szerződés végleges összértéke 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Érték: Pénznem: </w:t>
                  </w:r>
                  <w:r w:rsidR="001B67C0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15 934 300,- HUF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és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figyelembe vett legalacsonyabb ellenszolgáltatást tartalmazó ajánlat /és a legmagasabb ellenszolgáltatást tartalmazó ajánlat: Pénznem: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120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</w:t>
                  </w:r>
                  <w:r w:rsidR="001B67C0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x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] 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120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, 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, </w:t>
                  </w:r>
                </w:p>
              </w:tc>
            </w:tr>
            <w:tr w:rsidR="00707B47" w:rsidRPr="00707B47">
              <w:trPr>
                <w:trHeight w:val="525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Éves vagy havi érték esetén: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(adja meg)</w:t>
                  </w:r>
                </w:p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Az évek száma: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VAGY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a hónapok száma: </w:t>
                  </w:r>
                </w:p>
                <w:p w:rsidR="00707B47" w:rsidRPr="00707B47" w:rsidRDefault="00707B47" w:rsidP="00707B47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A szerződés határozatlan időtartamra szól [ ] igen [ ] nem </w:t>
                  </w:r>
                </w:p>
              </w:tc>
            </w:tr>
            <w:tr w:rsidR="00707B47" w:rsidRPr="00707B47">
              <w:trPr>
                <w:trHeight w:val="975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>IV.7) Alvállalkozásra vonatkozó információk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Valószínűsíthető alvállalkozók igénybevétele a szerződéshez: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 ] igen [</w:t>
                  </w:r>
                  <w:r w:rsidR="001B67C0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x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] nem </w:t>
                  </w:r>
                </w:p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(Igen válasz esetén, csak számokkal)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Jelölje meg a szerződés alvállalkozók, illetve harmadik személyek igénybevételével történő teljesítésének értékét vagy arányát (részét):</w:t>
                  </w:r>
                </w:p>
              </w:tc>
            </w:tr>
            <w:tr w:rsidR="00707B47" w:rsidRPr="00707B47">
              <w:trPr>
                <w:trHeight w:val="420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Érték áfa nélkül: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(arab számmal)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Pénznem: 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6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Arány (rész)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: ,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(%)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Nem ismert [ ] </w:t>
                  </w:r>
                </w:p>
              </w:tc>
            </w:tr>
            <w:tr w:rsidR="00707B47" w:rsidRPr="00707B47">
              <w:trPr>
                <w:trHeight w:val="900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Az alvállalkozásba adandó érték/arány rövid meghatározása: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(ha ismert)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707B47" w:rsidRPr="00707B47">
              <w:trPr>
                <w:trHeight w:val="690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IV.8)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nyertes ajánlattevő kis- és középvállalkozásokról, fejlődésük támogatásáról szóló törvény szerinti minősítése</w:t>
                  </w:r>
                </w:p>
              </w:tc>
            </w:tr>
            <w:tr w:rsidR="00707B47" w:rsidRPr="00707B47">
              <w:trPr>
                <w:trHeight w:val="69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mikro vállalkozás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B339D8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</w:t>
                  </w:r>
                  <w:r w:rsidR="00B339D8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x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] 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kisvállalkozás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középvállalkozás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egyéb </w:t>
                  </w:r>
                </w:p>
              </w:tc>
            </w:tr>
            <w:tr w:rsidR="00707B47" w:rsidRPr="00707B47">
              <w:trPr>
                <w:trHeight w:val="690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IV.9)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nyertes ajánlatot követő legkedvezőbb ajánlatot tevő neve és címe, valamint az ellenszolgáltatás összege 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Név: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Cím:</w:t>
                  </w:r>
                </w:p>
                <w:p w:rsidR="00707B47" w:rsidRPr="00707B47" w:rsidRDefault="00707B47" w:rsidP="00707B47">
                  <w:pPr>
                    <w:spacing w:after="120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Ellenszolgáltatás összege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(csak számokkal)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:</w:t>
                  </w:r>
                </w:p>
              </w:tc>
            </w:tr>
            <w:tr w:rsidR="00707B47" w:rsidRPr="00707B47">
              <w:trPr>
                <w:trHeight w:val="69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Áfa nélkül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Áfával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Áfa (%)</w:t>
                  </w:r>
                </w:p>
              </w:tc>
            </w:tr>
            <w:tr w:rsidR="00707B47" w:rsidRPr="00707B47">
              <w:trPr>
                <w:trHeight w:val="69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Érték: Pénznem: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jc w:val="center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, </w:t>
                  </w:r>
                </w:p>
              </w:tc>
            </w:tr>
            <w:tr w:rsidR="00707B47" w:rsidRPr="00707B47">
              <w:trPr>
                <w:trHeight w:val="690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IV.10) Az ajánlattevők neve és címe (ország is):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</w:p>
                <w:p w:rsidR="00707B47" w:rsidRPr="00707B47" w:rsidRDefault="00B339D8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Nemesgép</w:t>
                  </w:r>
                  <w:proofErr w:type="spellEnd"/>
                  <w:r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2000 </w:t>
                  </w:r>
                  <w:proofErr w:type="spellStart"/>
                  <w:r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Zrt</w:t>
                  </w:r>
                  <w:proofErr w:type="spellEnd"/>
                  <w:proofErr w:type="gramStart"/>
                  <w:r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.</w:t>
                  </w:r>
                  <w:r w:rsidR="00707B47"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.</w:t>
                  </w:r>
                  <w:proofErr w:type="gramEnd"/>
                  <w:r w:rsidR="00707B47"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(név) </w:t>
                  </w:r>
                  <w:r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2117 Isaszeg, Béke tér 11</w:t>
                  </w:r>
                  <w:r w:rsidR="00707B47"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. (cím) </w:t>
                  </w:r>
                </w:p>
                <w:p w:rsidR="00707B47" w:rsidRPr="00707B47" w:rsidRDefault="00B339D8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Ambíció</w:t>
                  </w:r>
                  <w:r w:rsidR="00707B47"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Kft. (név) </w:t>
                  </w:r>
                  <w:r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1032 Budapest, Bécsi út 223.</w:t>
                  </w:r>
                  <w:r w:rsidR="00707B47"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(cím) 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----------------------------------(E pontból az ajánlattevők számától függően több használandó)-----------------------------------</w:t>
                  </w:r>
                </w:p>
              </w:tc>
            </w:tr>
            <w:tr w:rsidR="00707B47" w:rsidRPr="00707B47">
              <w:trPr>
                <w:trHeight w:val="690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B339D8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IV.11)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szerződést olyan ajánlattevővel kötötték meg, aki többváltozatú ajánlatot tett [ ] igen [</w:t>
                  </w:r>
                  <w:r w:rsidR="00B339D8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x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] nem </w:t>
                  </w:r>
                </w:p>
              </w:tc>
            </w:tr>
            <w:tr w:rsidR="00707B47" w:rsidRPr="00707B47">
              <w:trPr>
                <w:trHeight w:val="690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IV.12) Volt érvénytelen ajánlat azon az alapon, hogy az ellenszolgáltatás kirívóan alacsony volt</w:t>
                  </w:r>
                </w:p>
                <w:p w:rsidR="00707B47" w:rsidRPr="00707B47" w:rsidRDefault="00707B47" w:rsidP="00B339D8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gram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</w:t>
                  </w:r>
                  <w:r w:rsidR="00B339D8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]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igen [</w:t>
                  </w:r>
                  <w:r w:rsidR="00B339D8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x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] nem </w:t>
                  </w:r>
                </w:p>
              </w:tc>
            </w:tr>
          </w:tbl>
          <w:p w:rsidR="00707B47" w:rsidRPr="00707B47" w:rsidRDefault="00707B47" w:rsidP="00707B47">
            <w:pPr>
              <w:spacing w:before="120" w:after="120" w:line="240" w:lineRule="auto"/>
              <w:jc w:val="center"/>
              <w:rPr>
                <w:rFonts w:ascii="&amp;#39" w:eastAsia="Times New Roman" w:hAnsi="&amp;#39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i/>
                <w:iCs/>
                <w:color w:val="000000"/>
                <w:sz w:val="18"/>
                <w:szCs w:val="18"/>
                <w:lang w:eastAsia="hu-HU"/>
              </w:rPr>
              <w:t>---------------(Ez a szakasz szükség szerint több példányban is használható. Részajánlat-tételi lehetőség esetén ez a szakasz valamennyi részajánlati kör tekintetében, külön-külön töltendő ki.)-------------------</w:t>
            </w:r>
          </w:p>
        </w:tc>
      </w:tr>
      <w:tr w:rsidR="00707B47" w:rsidRPr="00707B47" w:rsidTr="007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B47" w:rsidRPr="00707B47" w:rsidRDefault="00707B47" w:rsidP="00707B47">
            <w:pPr>
              <w:spacing w:after="120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 xml:space="preserve">V. </w:t>
            </w:r>
            <w:r w:rsidRPr="00707B47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szakasz: kiegészítő információk</w:t>
            </w: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07B47" w:rsidRPr="00707B47">
              <w:trPr>
                <w:tblHeader/>
                <w:tblCellSpacing w:w="0" w:type="dxa"/>
              </w:trPr>
              <w:tc>
                <w:tcPr>
                  <w:tcW w:w="10110" w:type="dxa"/>
                  <w:vAlign w:val="center"/>
                  <w:hideMark/>
                </w:tcPr>
                <w:p w:rsidR="00707B47" w:rsidRPr="00707B47" w:rsidRDefault="00707B47" w:rsidP="00707B47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V.1)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>Európai uniós alapokra vonatkozó információk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 szerződés európai uniós alapokból finanszírozott projekttel és/vagy programmal kapcsolatos</w:t>
                  </w:r>
                </w:p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 ] igen [x] nem </w:t>
                  </w:r>
                </w:p>
                <w:p w:rsidR="00707B47" w:rsidRPr="00707B47" w:rsidRDefault="00707B47" w:rsidP="00707B47">
                  <w:pPr>
                    <w:spacing w:before="120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(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Igen válasz esetén)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Hivatkozás a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projekt(</w:t>
                  </w:r>
                  <w:proofErr w:type="spellStart"/>
                  <w:proofErr w:type="gram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ek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)re és/vagy program(ok)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ra</w:t>
                  </w:r>
                  <w:proofErr w:type="spell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: </w:t>
                  </w:r>
                </w:p>
              </w:tc>
            </w:tr>
            <w:tr w:rsidR="00707B47" w:rsidRPr="00707B47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V.2)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>További információk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707B47" w:rsidRPr="00707B47">
              <w:trPr>
                <w:trHeight w:val="16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ind w:left="420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V.2.1) 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hirdetmény nélküli tárgyalásos eljárás esetén az eljárást megindító felhívás megküldésének, illetőleg a Közbeszerzési Döntőbizottság tájékoztatásának napja: </w:t>
                  </w:r>
                </w:p>
                <w:p w:rsidR="00707B47" w:rsidRPr="00707B47" w:rsidRDefault="00707B47" w:rsidP="00B339D8">
                  <w:pPr>
                    <w:spacing w:before="120" w:after="120" w:line="165" w:lineRule="atLeast"/>
                    <w:ind w:left="420"/>
                    <w:rPr>
                      <w:rFonts w:ascii="&amp;#39" w:eastAsia="Times New Roman" w:hAnsi="&amp;#39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Dátum</w:t>
                  </w:r>
                  <w:proofErr w:type="gram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: </w:t>
                  </w:r>
                  <w:r w:rsidR="00B339D8">
                    <w:rPr>
                      <w:rFonts w:ascii="&amp;#39" w:eastAsia="Times New Roman" w:hAnsi="&amp;#39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(</w:t>
                  </w:r>
                  <w:proofErr w:type="gramEnd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év/hó/nap)</w:t>
                  </w:r>
                </w:p>
              </w:tc>
            </w:tr>
            <w:tr w:rsidR="00707B47" w:rsidRPr="00707B47">
              <w:trPr>
                <w:trHeight w:val="16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ind w:left="420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 xml:space="preserve">V.2.2) Az eljárás során figyelembe vett környezetvédelmi szempontok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ind w:left="420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Az eljárásban környezetvédelmi szempontok kerültek meghatározásra: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ind w:left="420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szerződéses feltételként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ind w:left="420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bírálati részszempontként/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alszempontként</w:t>
                  </w:r>
                  <w:proofErr w:type="spellEnd"/>
                </w:p>
                <w:p w:rsidR="00707B47" w:rsidRPr="00707B47" w:rsidRDefault="00707B47" w:rsidP="00707B47">
                  <w:pPr>
                    <w:spacing w:before="105" w:after="105" w:line="240" w:lineRule="auto"/>
                    <w:ind w:left="420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a műszaki leírás részeként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ind w:left="420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az alkalmassági feltételek körében környezetvédelmi intézkedések alkalmazásának előírásával (építési beruházás és szolgáltatás megrendelés esetén)</w:t>
                  </w:r>
                </w:p>
                <w:p w:rsidR="00707B47" w:rsidRPr="00707B47" w:rsidRDefault="00707B47" w:rsidP="00707B47">
                  <w:pPr>
                    <w:spacing w:before="105" w:after="105" w:line="165" w:lineRule="atLeast"/>
                    <w:ind w:left="420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az alkalmassági feltételek körében környezetvédelmi vezetési rendszereknek való megfelelés igazolásával</w:t>
                  </w:r>
                </w:p>
              </w:tc>
            </w:tr>
            <w:tr w:rsidR="00707B47" w:rsidRPr="00707B47">
              <w:trPr>
                <w:trHeight w:val="16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ind w:left="420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V.2.3) Az eljárás során figyelembe vett szociális szempontok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</w:p>
                <w:p w:rsidR="00707B47" w:rsidRPr="00707B47" w:rsidRDefault="00707B47" w:rsidP="00707B47">
                  <w:pPr>
                    <w:spacing w:before="120" w:after="120" w:line="240" w:lineRule="auto"/>
                    <w:ind w:left="420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Az eljárásban szociális szempontok kerültek meghatározásra: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ind w:left="420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szerződéses feltételként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ind w:left="420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bírálati részszempontként/</w:t>
                  </w:r>
                  <w:proofErr w:type="spellStart"/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alszempontként</w:t>
                  </w:r>
                  <w:proofErr w:type="spellEnd"/>
                </w:p>
                <w:p w:rsidR="00707B47" w:rsidRPr="00707B47" w:rsidRDefault="00707B47" w:rsidP="00707B47">
                  <w:pPr>
                    <w:spacing w:before="105" w:after="105" w:line="240" w:lineRule="auto"/>
                    <w:ind w:left="420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a műszaki leírás részeként</w:t>
                  </w:r>
                </w:p>
                <w:p w:rsidR="00707B47" w:rsidRPr="00707B47" w:rsidRDefault="00707B47" w:rsidP="00707B47">
                  <w:pPr>
                    <w:spacing w:before="105" w:after="105" w:line="240" w:lineRule="auto"/>
                    <w:ind w:left="420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 ] alkalmassági feltételként</w:t>
                  </w:r>
                </w:p>
                <w:p w:rsidR="00707B47" w:rsidRPr="00707B47" w:rsidRDefault="00707B47" w:rsidP="00707B47">
                  <w:pPr>
                    <w:spacing w:before="105" w:after="105" w:line="165" w:lineRule="atLeast"/>
                    <w:ind w:left="420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 xml:space="preserve">[ ] 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védett foglalkoztatók számára fenntartott közbeszerzés útján </w:t>
                  </w:r>
                </w:p>
              </w:tc>
            </w:tr>
            <w:tr w:rsidR="00707B47" w:rsidRPr="00707B47">
              <w:trPr>
                <w:trHeight w:val="16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before="120" w:after="120" w:line="240" w:lineRule="auto"/>
                    <w:ind w:left="420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V.2.4) Egyéb információk:</w:t>
                  </w:r>
                </w:p>
                <w:p w:rsidR="00707B47" w:rsidRPr="00707B47" w:rsidRDefault="00707B47" w:rsidP="00707B47">
                  <w:pPr>
                    <w:spacing w:after="120" w:line="165" w:lineRule="atLeast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07B47" w:rsidRPr="00707B47">
              <w:trPr>
                <w:trHeight w:val="16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07B47" w:rsidRPr="00707B47" w:rsidRDefault="00707B47" w:rsidP="00B339D8">
                  <w:pPr>
                    <w:spacing w:after="0" w:line="165" w:lineRule="atLeast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V.3)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 xml:space="preserve"> E hirdetmény feladásának időpontja</w:t>
                  </w:r>
                  <w:r w:rsidRPr="00707B47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: 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2012/0</w:t>
                  </w:r>
                  <w:r w:rsidR="00B339D8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5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/0</w:t>
                  </w:r>
                  <w:r w:rsidR="00B339D8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9</w:t>
                  </w:r>
                  <w:r w:rsidRPr="00707B47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707B47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</w:p>
              </w:tc>
            </w:tr>
          </w:tbl>
          <w:p w:rsidR="00707B47" w:rsidRPr="00707B47" w:rsidRDefault="00707B47" w:rsidP="00707B47">
            <w:pPr>
              <w:spacing w:after="0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07B47" w:rsidRPr="00707B47" w:rsidTr="007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B47" w:rsidRPr="00707B47" w:rsidRDefault="00707B47" w:rsidP="00707B47">
            <w:pPr>
              <w:spacing w:after="120" w:line="240" w:lineRule="auto"/>
              <w:jc w:val="center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 xml:space="preserve">A. </w:t>
            </w:r>
            <w:r w:rsidRPr="00707B47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melléklet</w:t>
            </w:r>
            <w:r w:rsidRPr="00707B47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p w:rsidR="00707B47" w:rsidRPr="00707B47" w:rsidRDefault="00707B47" w:rsidP="00707B47">
            <w:pPr>
              <w:spacing w:after="120" w:line="240" w:lineRule="auto"/>
              <w:jc w:val="center"/>
              <w:outlineLvl w:val="2"/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 xml:space="preserve">További címek </w:t>
            </w:r>
            <w:proofErr w:type="gramStart"/>
            <w:r w:rsidRPr="00707B47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707B47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 xml:space="preserve"> kapcsolattartási pontok</w:t>
            </w:r>
          </w:p>
          <w:p w:rsidR="00707B47" w:rsidRPr="00707B47" w:rsidRDefault="00707B47" w:rsidP="00707B47">
            <w:pPr>
              <w:spacing w:after="0" w:line="240" w:lineRule="auto"/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>A másik ajánlatkérő címei, amely nevében az ajánlatkérő a beszerzést végzi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4189"/>
              <w:gridCol w:w="1855"/>
            </w:tblGrid>
            <w:tr w:rsidR="00707B47" w:rsidRPr="00707B47">
              <w:trPr>
                <w:trHeight w:val="16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16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Hivatalos név:</w:t>
                  </w:r>
                </w:p>
              </w:tc>
            </w:tr>
            <w:tr w:rsidR="00707B47" w:rsidRPr="00707B47">
              <w:trPr>
                <w:trHeight w:val="165"/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16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Postai cím:</w:t>
                  </w:r>
                </w:p>
              </w:tc>
            </w:tr>
            <w:tr w:rsidR="00707B47" w:rsidRPr="00707B47">
              <w:trPr>
                <w:trHeight w:val="16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16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Város/Község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16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Postai irányítószám: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07B47" w:rsidRPr="00707B47" w:rsidRDefault="00707B47" w:rsidP="00707B47">
                  <w:pPr>
                    <w:spacing w:after="0" w:line="16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707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Ország:</w:t>
                  </w:r>
                </w:p>
              </w:tc>
            </w:tr>
          </w:tbl>
          <w:p w:rsidR="00707B47" w:rsidRPr="00707B47" w:rsidRDefault="00707B47" w:rsidP="00707B47">
            <w:pPr>
              <w:spacing w:before="120" w:after="120" w:line="240" w:lineRule="auto"/>
              <w:jc w:val="center"/>
              <w:rPr>
                <w:rFonts w:ascii="&amp;#39" w:eastAsia="Times New Roman" w:hAnsi="&amp;#39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707B47">
              <w:rPr>
                <w:rFonts w:ascii="&amp;#39" w:eastAsia="Times New Roman" w:hAnsi="&amp;#39" w:cs="Times New Roman"/>
                <w:i/>
                <w:iCs/>
                <w:color w:val="000000"/>
                <w:sz w:val="18"/>
                <w:szCs w:val="18"/>
                <w:lang w:eastAsia="hu-HU"/>
              </w:rPr>
              <w:t>--------------- (Ez a melléklet szükség szerint több példányban is használható) ---------------</w:t>
            </w:r>
          </w:p>
        </w:tc>
      </w:tr>
    </w:tbl>
    <w:p w:rsidR="00AE5914" w:rsidRDefault="00AE5914"/>
    <w:sectPr w:rsidR="00AE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47"/>
    <w:rsid w:val="001B67C0"/>
    <w:rsid w:val="00707B47"/>
    <w:rsid w:val="00712899"/>
    <w:rsid w:val="0093078D"/>
    <w:rsid w:val="00AE5914"/>
    <w:rsid w:val="00B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07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07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07B47"/>
    <w:pPr>
      <w:spacing w:after="120" w:line="240" w:lineRule="auto"/>
      <w:jc w:val="center"/>
      <w:outlineLvl w:val="2"/>
    </w:pPr>
    <w:rPr>
      <w:rFonts w:ascii="&amp;#39" w:eastAsia="Times New Roman" w:hAnsi="&amp;#39" w:cs="Times New Roman"/>
      <w:b/>
      <w:bCs/>
      <w:caps/>
      <w:sz w:val="18"/>
      <w:szCs w:val="1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07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707B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7B47"/>
    <w:rPr>
      <w:rFonts w:ascii="Times New Roman" w:eastAsia="Times New Roman" w:hAnsi="Times New Roman" w:cs="Times New Roman"/>
      <w:b/>
      <w:bCs/>
      <w:kern w:val="36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07B47"/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07B47"/>
    <w:rPr>
      <w:rFonts w:ascii="&amp;#39" w:eastAsia="Times New Roman" w:hAnsi="&amp;#39" w:cs="Times New Roman"/>
      <w:b/>
      <w:bCs/>
      <w:caps/>
      <w:sz w:val="18"/>
      <w:szCs w:val="1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07B47"/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07B47"/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07B47"/>
    <w:rPr>
      <w:b/>
      <w:bCs/>
      <w:strike w:val="0"/>
      <w:dstrike w:val="0"/>
      <w:color w:val="000000"/>
      <w:u w:val="none"/>
      <w:effect w:val="none"/>
    </w:rPr>
  </w:style>
  <w:style w:type="character" w:styleId="Mrltotthiperhivatkozs">
    <w:name w:val="FollowedHyperlink"/>
    <w:basedOn w:val="Bekezdsalapbettpusa"/>
    <w:uiPriority w:val="99"/>
    <w:semiHidden/>
    <w:unhideWhenUsed/>
    <w:rsid w:val="00707B47"/>
    <w:rPr>
      <w:b/>
      <w:bCs/>
      <w:strike w:val="0"/>
      <w:dstrike w:val="0"/>
      <w:color w:val="000000"/>
      <w:u w:val="none"/>
      <w:effect w:val="none"/>
    </w:rPr>
  </w:style>
  <w:style w:type="paragraph" w:customStyle="1" w:styleId="jegyzetszveg">
    <w:name w:val="jegyzetszveg"/>
    <w:basedOn w:val="Norml"/>
    <w:rsid w:val="00707B47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rub3">
    <w:name w:val="rub3"/>
    <w:basedOn w:val="Norml"/>
    <w:rsid w:val="00707B47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rub2">
    <w:name w:val="rub2"/>
    <w:basedOn w:val="Norml"/>
    <w:rsid w:val="00707B47"/>
    <w:pPr>
      <w:spacing w:after="0" w:line="240" w:lineRule="auto"/>
    </w:pPr>
    <w:rPr>
      <w:rFonts w:ascii="&amp;#39" w:eastAsia="Times New Roman" w:hAnsi="&amp;#39" w:cs="Times New Roman"/>
      <w:smallCaps/>
      <w:sz w:val="24"/>
      <w:szCs w:val="24"/>
      <w:lang w:eastAsia="hu-HU"/>
    </w:rPr>
  </w:style>
  <w:style w:type="paragraph" w:customStyle="1" w:styleId="rub1">
    <w:name w:val="rub1"/>
    <w:basedOn w:val="Norml"/>
    <w:rsid w:val="00707B47"/>
    <w:pPr>
      <w:spacing w:after="0" w:line="240" w:lineRule="auto"/>
      <w:jc w:val="both"/>
    </w:pPr>
    <w:rPr>
      <w:rFonts w:ascii="&amp;#39" w:eastAsia="Times New Roman" w:hAnsi="&amp;#39" w:cs="Times New Roman"/>
      <w:b/>
      <w:bCs/>
      <w:smallCaps/>
      <w:sz w:val="24"/>
      <w:szCs w:val="24"/>
      <w:lang w:eastAsia="hu-HU"/>
    </w:rPr>
  </w:style>
  <w:style w:type="paragraph" w:customStyle="1" w:styleId="standard">
    <w:name w:val="standard"/>
    <w:basedOn w:val="Norml"/>
    <w:rsid w:val="00707B47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textbody">
    <w:name w:val="textbody"/>
    <w:basedOn w:val="Norml"/>
    <w:rsid w:val="00707B47"/>
    <w:pPr>
      <w:spacing w:before="120" w:after="0" w:line="240" w:lineRule="auto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zu">
    <w:name w:val="zu"/>
    <w:basedOn w:val="Norml"/>
    <w:rsid w:val="00707B4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heading8">
    <w:name w:val="heading8"/>
    <w:basedOn w:val="Norml"/>
    <w:rsid w:val="00707B47"/>
    <w:pPr>
      <w:spacing w:before="225" w:after="60" w:line="240" w:lineRule="auto"/>
    </w:pPr>
    <w:rPr>
      <w:rFonts w:ascii="&amp;#39" w:eastAsia="Times New Roman" w:hAnsi="&amp;#39" w:cs="Times New Roman"/>
      <w:i/>
      <w:iCs/>
      <w:sz w:val="24"/>
      <w:szCs w:val="24"/>
      <w:lang w:eastAsia="hu-HU"/>
    </w:rPr>
  </w:style>
  <w:style w:type="paragraph" w:customStyle="1" w:styleId="text">
    <w:name w:val="text"/>
    <w:basedOn w:val="Norml"/>
    <w:rsid w:val="00707B4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alert">
    <w:name w:val="alert"/>
    <w:basedOn w:val="Norml"/>
    <w:rsid w:val="007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note">
    <w:name w:val="note"/>
    <w:basedOn w:val="Norml"/>
    <w:rsid w:val="007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button">
    <w:name w:val="button"/>
    <w:basedOn w:val="Norml"/>
    <w:rsid w:val="00707B47"/>
    <w:pPr>
      <w:pBdr>
        <w:top w:val="single" w:sz="6" w:space="2" w:color="000000"/>
        <w:left w:val="single" w:sz="6" w:space="4" w:color="000000"/>
        <w:bottom w:val="single" w:sz="6" w:space="2" w:color="000000"/>
        <w:right w:val="single" w:sz="6" w:space="4" w:color="000000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dotted">
    <w:name w:val="dotted"/>
    <w:basedOn w:val="Norml"/>
    <w:rsid w:val="007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ssageheader">
    <w:name w:val="messageheader"/>
    <w:basedOn w:val="Norml"/>
    <w:rsid w:val="007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r">
    <w:name w:val="marker"/>
    <w:basedOn w:val="Bekezdsalapbettpusa"/>
    <w:rsid w:val="00707B47"/>
    <w:rPr>
      <w:color w:val="0000FF"/>
    </w:rPr>
  </w:style>
  <w:style w:type="paragraph" w:customStyle="1" w:styleId="messageheader1">
    <w:name w:val="messageheader1"/>
    <w:basedOn w:val="Norml"/>
    <w:rsid w:val="007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07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07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07B47"/>
    <w:pPr>
      <w:spacing w:after="120" w:line="240" w:lineRule="auto"/>
      <w:jc w:val="center"/>
      <w:outlineLvl w:val="2"/>
    </w:pPr>
    <w:rPr>
      <w:rFonts w:ascii="&amp;#39" w:eastAsia="Times New Roman" w:hAnsi="&amp;#39" w:cs="Times New Roman"/>
      <w:b/>
      <w:bCs/>
      <w:caps/>
      <w:sz w:val="18"/>
      <w:szCs w:val="1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07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707B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7B47"/>
    <w:rPr>
      <w:rFonts w:ascii="Times New Roman" w:eastAsia="Times New Roman" w:hAnsi="Times New Roman" w:cs="Times New Roman"/>
      <w:b/>
      <w:bCs/>
      <w:kern w:val="36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07B47"/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07B47"/>
    <w:rPr>
      <w:rFonts w:ascii="&amp;#39" w:eastAsia="Times New Roman" w:hAnsi="&amp;#39" w:cs="Times New Roman"/>
      <w:b/>
      <w:bCs/>
      <w:caps/>
      <w:sz w:val="18"/>
      <w:szCs w:val="1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07B47"/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07B47"/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07B47"/>
    <w:rPr>
      <w:b/>
      <w:bCs/>
      <w:strike w:val="0"/>
      <w:dstrike w:val="0"/>
      <w:color w:val="000000"/>
      <w:u w:val="none"/>
      <w:effect w:val="none"/>
    </w:rPr>
  </w:style>
  <w:style w:type="character" w:styleId="Mrltotthiperhivatkozs">
    <w:name w:val="FollowedHyperlink"/>
    <w:basedOn w:val="Bekezdsalapbettpusa"/>
    <w:uiPriority w:val="99"/>
    <w:semiHidden/>
    <w:unhideWhenUsed/>
    <w:rsid w:val="00707B47"/>
    <w:rPr>
      <w:b/>
      <w:bCs/>
      <w:strike w:val="0"/>
      <w:dstrike w:val="0"/>
      <w:color w:val="000000"/>
      <w:u w:val="none"/>
      <w:effect w:val="none"/>
    </w:rPr>
  </w:style>
  <w:style w:type="paragraph" w:customStyle="1" w:styleId="jegyzetszveg">
    <w:name w:val="jegyzetszveg"/>
    <w:basedOn w:val="Norml"/>
    <w:rsid w:val="00707B47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rub3">
    <w:name w:val="rub3"/>
    <w:basedOn w:val="Norml"/>
    <w:rsid w:val="00707B47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rub2">
    <w:name w:val="rub2"/>
    <w:basedOn w:val="Norml"/>
    <w:rsid w:val="00707B47"/>
    <w:pPr>
      <w:spacing w:after="0" w:line="240" w:lineRule="auto"/>
    </w:pPr>
    <w:rPr>
      <w:rFonts w:ascii="&amp;#39" w:eastAsia="Times New Roman" w:hAnsi="&amp;#39" w:cs="Times New Roman"/>
      <w:smallCaps/>
      <w:sz w:val="24"/>
      <w:szCs w:val="24"/>
      <w:lang w:eastAsia="hu-HU"/>
    </w:rPr>
  </w:style>
  <w:style w:type="paragraph" w:customStyle="1" w:styleId="rub1">
    <w:name w:val="rub1"/>
    <w:basedOn w:val="Norml"/>
    <w:rsid w:val="00707B47"/>
    <w:pPr>
      <w:spacing w:after="0" w:line="240" w:lineRule="auto"/>
      <w:jc w:val="both"/>
    </w:pPr>
    <w:rPr>
      <w:rFonts w:ascii="&amp;#39" w:eastAsia="Times New Roman" w:hAnsi="&amp;#39" w:cs="Times New Roman"/>
      <w:b/>
      <w:bCs/>
      <w:smallCaps/>
      <w:sz w:val="24"/>
      <w:szCs w:val="24"/>
      <w:lang w:eastAsia="hu-HU"/>
    </w:rPr>
  </w:style>
  <w:style w:type="paragraph" w:customStyle="1" w:styleId="standard">
    <w:name w:val="standard"/>
    <w:basedOn w:val="Norml"/>
    <w:rsid w:val="00707B47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textbody">
    <w:name w:val="textbody"/>
    <w:basedOn w:val="Norml"/>
    <w:rsid w:val="00707B47"/>
    <w:pPr>
      <w:spacing w:before="120" w:after="0" w:line="240" w:lineRule="auto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zu">
    <w:name w:val="zu"/>
    <w:basedOn w:val="Norml"/>
    <w:rsid w:val="00707B4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heading8">
    <w:name w:val="heading8"/>
    <w:basedOn w:val="Norml"/>
    <w:rsid w:val="00707B47"/>
    <w:pPr>
      <w:spacing w:before="225" w:after="60" w:line="240" w:lineRule="auto"/>
    </w:pPr>
    <w:rPr>
      <w:rFonts w:ascii="&amp;#39" w:eastAsia="Times New Roman" w:hAnsi="&amp;#39" w:cs="Times New Roman"/>
      <w:i/>
      <w:iCs/>
      <w:sz w:val="24"/>
      <w:szCs w:val="24"/>
      <w:lang w:eastAsia="hu-HU"/>
    </w:rPr>
  </w:style>
  <w:style w:type="paragraph" w:customStyle="1" w:styleId="text">
    <w:name w:val="text"/>
    <w:basedOn w:val="Norml"/>
    <w:rsid w:val="00707B4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alert">
    <w:name w:val="alert"/>
    <w:basedOn w:val="Norml"/>
    <w:rsid w:val="007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note">
    <w:name w:val="note"/>
    <w:basedOn w:val="Norml"/>
    <w:rsid w:val="007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button">
    <w:name w:val="button"/>
    <w:basedOn w:val="Norml"/>
    <w:rsid w:val="00707B47"/>
    <w:pPr>
      <w:pBdr>
        <w:top w:val="single" w:sz="6" w:space="2" w:color="000000"/>
        <w:left w:val="single" w:sz="6" w:space="4" w:color="000000"/>
        <w:bottom w:val="single" w:sz="6" w:space="2" w:color="000000"/>
        <w:right w:val="single" w:sz="6" w:space="4" w:color="000000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dotted">
    <w:name w:val="dotted"/>
    <w:basedOn w:val="Norml"/>
    <w:rsid w:val="007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ssageheader">
    <w:name w:val="messageheader"/>
    <w:basedOn w:val="Norml"/>
    <w:rsid w:val="007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r">
    <w:name w:val="marker"/>
    <w:basedOn w:val="Bekezdsalapbettpusa"/>
    <w:rsid w:val="00707B47"/>
    <w:rPr>
      <w:color w:val="0000FF"/>
    </w:rPr>
  </w:style>
  <w:style w:type="paragraph" w:customStyle="1" w:styleId="messageheader1">
    <w:name w:val="messageheader1"/>
    <w:basedOn w:val="Norml"/>
    <w:rsid w:val="007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1596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Dem</cp:lastModifiedBy>
  <cp:revision>4</cp:revision>
  <cp:lastPrinted>2012-12-04T09:08:00Z</cp:lastPrinted>
  <dcterms:created xsi:type="dcterms:W3CDTF">2012-12-04T08:38:00Z</dcterms:created>
  <dcterms:modified xsi:type="dcterms:W3CDTF">2012-12-04T09:14:00Z</dcterms:modified>
</cp:coreProperties>
</file>