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1934" w:rsidRPr="004E5D4D" w:rsidRDefault="004E5D4D" w:rsidP="004E5D4D">
      <w:pPr>
        <w:jc w:val="center"/>
        <w:rPr>
          <w:rFonts w:ascii="Arial" w:hAnsi="Arial" w:cs="Arial"/>
          <w:b/>
        </w:rPr>
      </w:pPr>
      <w:r w:rsidRPr="004E5D4D">
        <w:rPr>
          <w:rFonts w:ascii="Arial" w:hAnsi="Arial" w:cs="Arial"/>
          <w:b/>
        </w:rPr>
        <w:t>TÁJÉKOZTATÓ</w:t>
      </w:r>
    </w:p>
    <w:p w:rsidR="004E5D4D" w:rsidRPr="00615732" w:rsidRDefault="004E5D4D" w:rsidP="004E5D4D">
      <w:pPr>
        <w:jc w:val="center"/>
        <w:rPr>
          <w:rFonts w:ascii="Arial" w:hAnsi="Arial" w:cs="Arial"/>
        </w:rPr>
      </w:pPr>
      <w:r>
        <w:rPr>
          <w:rFonts w:ascii="Arial" w:hAnsi="Arial" w:cs="Arial"/>
        </w:rPr>
        <w:t>Alapjellemzéshez szükséges vizsgálatok nélkül B</w:t>
      </w:r>
      <w:r w:rsidRPr="004E5D4D">
        <w:rPr>
          <w:rFonts w:ascii="Arial" w:hAnsi="Arial" w:cs="Arial"/>
        </w:rPr>
        <w:t>3 típusú hulladék</w:t>
      </w:r>
      <w:r>
        <w:rPr>
          <w:rFonts w:ascii="Arial" w:hAnsi="Arial" w:cs="Arial"/>
        </w:rPr>
        <w:t>lerakón átvehető hulladékokról</w:t>
      </w:r>
    </w:p>
    <w:p w:rsidR="00615732" w:rsidRPr="00615732" w:rsidRDefault="00615732" w:rsidP="004E5D4D">
      <w:pPr>
        <w:spacing w:after="0"/>
        <w:contextualSpacing/>
        <w:jc w:val="both"/>
        <w:rPr>
          <w:rFonts w:ascii="Arial" w:eastAsia="Times New Roman" w:hAnsi="Arial" w:cs="Arial"/>
          <w:sz w:val="20"/>
          <w:szCs w:val="20"/>
          <w:lang w:eastAsia="hu-HU"/>
        </w:rPr>
      </w:pPr>
    </w:p>
    <w:p w:rsidR="00615732" w:rsidRPr="004E5D4D" w:rsidRDefault="00615732" w:rsidP="004E5D4D">
      <w:pPr>
        <w:jc w:val="both"/>
        <w:rPr>
          <w:rFonts w:ascii="Arial" w:hAnsi="Arial" w:cs="Arial"/>
        </w:rPr>
      </w:pPr>
      <w:r w:rsidRPr="004E5D4D">
        <w:rPr>
          <w:rFonts w:ascii="Arial" w:hAnsi="Arial" w:cs="Arial"/>
        </w:rPr>
        <w:t xml:space="preserve">B3 alkategóriájú hulladéklerakón </w:t>
      </w:r>
      <w:r w:rsidRPr="004E5D4D">
        <w:rPr>
          <w:rFonts w:ascii="Arial" w:hAnsi="Arial" w:cs="Arial"/>
          <w:b/>
        </w:rPr>
        <w:t>alapjellemzéshez szükséges vizsgálatok nélkül átvehetők</w:t>
      </w:r>
      <w:r w:rsidRPr="004E5D4D">
        <w:rPr>
          <w:rFonts w:ascii="Arial" w:hAnsi="Arial" w:cs="Arial"/>
        </w:rPr>
        <w:t xml:space="preserve"> a 20/2006. (IV.5.) </w:t>
      </w:r>
      <w:proofErr w:type="spellStart"/>
      <w:r w:rsidRPr="004E5D4D">
        <w:rPr>
          <w:rFonts w:ascii="Arial" w:hAnsi="Arial" w:cs="Arial"/>
        </w:rPr>
        <w:t>KvVm</w:t>
      </w:r>
      <w:proofErr w:type="spellEnd"/>
      <w:r w:rsidRPr="004E5D4D">
        <w:rPr>
          <w:rFonts w:ascii="Arial" w:hAnsi="Arial" w:cs="Arial"/>
        </w:rPr>
        <w:t xml:space="preserve"> rendelet 2. sz. melléklet </w:t>
      </w:r>
      <w:r w:rsidRPr="004E5D4D">
        <w:rPr>
          <w:rFonts w:ascii="Arial" w:hAnsi="Arial" w:cs="Arial"/>
          <w:b/>
        </w:rPr>
        <w:t>2.1.-1. táblázatban felsorolt inert hulladékok</w:t>
      </w:r>
      <w:r w:rsidRPr="004E5D4D">
        <w:rPr>
          <w:rFonts w:ascii="Arial" w:hAnsi="Arial" w:cs="Arial"/>
        </w:rPr>
        <w:t xml:space="preserve">, a külön jogszabály szerinti hulladékjegyzék </w:t>
      </w:r>
      <w:r w:rsidRPr="004E5D4D">
        <w:rPr>
          <w:rFonts w:ascii="Arial" w:hAnsi="Arial" w:cs="Arial"/>
          <w:b/>
        </w:rPr>
        <w:t>EWC 20-as főcsoportjában felsorolt, vegyesen gyűjtött, nem veszélyes szilárd hulladékok</w:t>
      </w:r>
      <w:r w:rsidRPr="004E5D4D">
        <w:rPr>
          <w:rFonts w:ascii="Arial" w:hAnsi="Arial" w:cs="Arial"/>
        </w:rPr>
        <w:t>, kivéve az EWC 20 01 41 kéménysöprésből származó hulladékot, ami csak vizsgálat alapján vehető át.</w:t>
      </w:r>
    </w:p>
    <w:p w:rsidR="00615732" w:rsidRPr="004E5D4D" w:rsidRDefault="00615732" w:rsidP="004E5D4D">
      <w:pPr>
        <w:jc w:val="both"/>
        <w:rPr>
          <w:rFonts w:ascii="Arial" w:hAnsi="Arial" w:cs="Arial"/>
        </w:rPr>
      </w:pPr>
      <w:bookmarkStart w:id="0" w:name="pr392"/>
      <w:bookmarkEnd w:id="0"/>
      <w:r w:rsidRPr="004E5D4D">
        <w:rPr>
          <w:rFonts w:ascii="Arial" w:hAnsi="Arial" w:cs="Arial"/>
          <w:b/>
        </w:rPr>
        <w:t>Vizsgálatok alapján vehetők át</w:t>
      </w:r>
      <w:r w:rsidRPr="004E5D4D">
        <w:rPr>
          <w:rFonts w:ascii="Arial" w:hAnsi="Arial" w:cs="Arial"/>
        </w:rPr>
        <w:t xml:space="preserve"> más nem veszélyes hulladékok, ha eleget tesznek a B1b alkategóriájú hulladéklerakókra vonatkozó átvételi követelményeknek a 2.2.1.-1. táblázatban felsorolt határértékek alapján.</w:t>
      </w:r>
    </w:p>
    <w:p w:rsidR="00615732" w:rsidRDefault="00615732" w:rsidP="00615732">
      <w:pPr>
        <w:rPr>
          <w:rFonts w:ascii="Arial" w:hAnsi="Arial" w:cs="Arial"/>
        </w:rPr>
      </w:pPr>
      <w:r w:rsidRPr="00615732">
        <w:rPr>
          <w:rFonts w:ascii="Arial" w:hAnsi="Arial" w:cs="Arial"/>
        </w:rPr>
        <w:t>2.1.-1. táblázat</w:t>
      </w:r>
      <w:bookmarkStart w:id="1" w:name="pr295"/>
      <w:bookmarkEnd w:id="1"/>
      <w:r w:rsidR="004E5D4D">
        <w:rPr>
          <w:rFonts w:ascii="Arial" w:hAnsi="Arial" w:cs="Arial"/>
        </w:rPr>
        <w:t xml:space="preserve">: </w:t>
      </w:r>
      <w:r w:rsidRPr="00615732">
        <w:rPr>
          <w:rFonts w:ascii="Arial" w:hAnsi="Arial" w:cs="Arial"/>
        </w:rPr>
        <w:t>Alapjellemzéshez szükséges vizsgálatok nélkül átvehető inert hulladékok</w:t>
      </w:r>
    </w:p>
    <w:tbl>
      <w:tblPr>
        <w:tblStyle w:val="Rcsostblzat"/>
        <w:tblW w:w="0" w:type="auto"/>
        <w:tblLook w:val="04A0"/>
      </w:tblPr>
      <w:tblGrid>
        <w:gridCol w:w="1809"/>
        <w:gridCol w:w="3402"/>
        <w:gridCol w:w="4001"/>
      </w:tblGrid>
      <w:tr w:rsidR="00615732" w:rsidRPr="004E5D4D" w:rsidTr="004E5D4D">
        <w:tc>
          <w:tcPr>
            <w:tcW w:w="1809" w:type="dxa"/>
          </w:tcPr>
          <w:p w:rsidR="00615732" w:rsidRPr="004E5D4D" w:rsidRDefault="00615732" w:rsidP="004E5D4D">
            <w:pPr>
              <w:jc w:val="center"/>
              <w:rPr>
                <w:rFonts w:ascii="Arial" w:hAnsi="Arial" w:cs="Arial"/>
                <w:b/>
              </w:rPr>
            </w:pPr>
            <w:r w:rsidRPr="004E5D4D">
              <w:rPr>
                <w:rFonts w:ascii="Arial" w:hAnsi="Arial" w:cs="Arial"/>
                <w:b/>
              </w:rPr>
              <w:t>EWC kód</w:t>
            </w:r>
          </w:p>
        </w:tc>
        <w:tc>
          <w:tcPr>
            <w:tcW w:w="3402" w:type="dxa"/>
          </w:tcPr>
          <w:p w:rsidR="00615732" w:rsidRPr="004E5D4D" w:rsidRDefault="00615732" w:rsidP="004E5D4D">
            <w:pPr>
              <w:jc w:val="center"/>
              <w:rPr>
                <w:rFonts w:ascii="Arial" w:hAnsi="Arial" w:cs="Arial"/>
                <w:b/>
              </w:rPr>
            </w:pPr>
            <w:r w:rsidRPr="004E5D4D">
              <w:rPr>
                <w:rFonts w:ascii="Arial" w:hAnsi="Arial" w:cs="Arial"/>
                <w:b/>
              </w:rPr>
              <w:t>Leírás</w:t>
            </w:r>
          </w:p>
        </w:tc>
        <w:tc>
          <w:tcPr>
            <w:tcW w:w="4001" w:type="dxa"/>
          </w:tcPr>
          <w:p w:rsidR="00615732" w:rsidRPr="004E5D4D" w:rsidRDefault="00615732" w:rsidP="004E5D4D">
            <w:pPr>
              <w:jc w:val="center"/>
              <w:rPr>
                <w:rFonts w:ascii="Arial" w:hAnsi="Arial" w:cs="Arial"/>
                <w:b/>
              </w:rPr>
            </w:pPr>
            <w:r w:rsidRPr="004E5D4D">
              <w:rPr>
                <w:rFonts w:ascii="Arial" w:hAnsi="Arial" w:cs="Arial"/>
                <w:b/>
              </w:rPr>
              <w:t>Korlátozások</w:t>
            </w:r>
          </w:p>
        </w:tc>
      </w:tr>
      <w:tr w:rsidR="00615732" w:rsidTr="004E5D4D">
        <w:tc>
          <w:tcPr>
            <w:tcW w:w="1809" w:type="dxa"/>
          </w:tcPr>
          <w:p w:rsidR="00615732" w:rsidRDefault="00615732" w:rsidP="00615732">
            <w:pPr>
              <w:rPr>
                <w:rFonts w:ascii="Arial" w:hAnsi="Arial" w:cs="Arial"/>
              </w:rPr>
            </w:pPr>
            <w:r w:rsidRPr="00615732">
              <w:rPr>
                <w:rFonts w:ascii="Arial" w:hAnsi="Arial" w:cs="Arial"/>
              </w:rPr>
              <w:t>10 11 03</w:t>
            </w:r>
          </w:p>
        </w:tc>
        <w:tc>
          <w:tcPr>
            <w:tcW w:w="3402" w:type="dxa"/>
          </w:tcPr>
          <w:p w:rsidR="00615732" w:rsidRDefault="00615732" w:rsidP="00615732">
            <w:pPr>
              <w:rPr>
                <w:rFonts w:ascii="Arial" w:hAnsi="Arial" w:cs="Arial"/>
              </w:rPr>
            </w:pPr>
            <w:r w:rsidRPr="00615732">
              <w:rPr>
                <w:rFonts w:ascii="Arial" w:hAnsi="Arial" w:cs="Arial"/>
              </w:rPr>
              <w:t>Üveg alapú, szálas anyagok hulladékai</w:t>
            </w:r>
          </w:p>
        </w:tc>
        <w:tc>
          <w:tcPr>
            <w:tcW w:w="4001" w:type="dxa"/>
          </w:tcPr>
          <w:p w:rsidR="00615732" w:rsidRDefault="00615732" w:rsidP="00615732">
            <w:pPr>
              <w:rPr>
                <w:rFonts w:ascii="Arial" w:hAnsi="Arial" w:cs="Arial"/>
              </w:rPr>
            </w:pPr>
            <w:r w:rsidRPr="00615732">
              <w:rPr>
                <w:rFonts w:ascii="Arial" w:hAnsi="Arial" w:cs="Arial"/>
              </w:rPr>
              <w:t>A hulladék nem tartalmazhat szerves kötőanyagot</w:t>
            </w:r>
          </w:p>
        </w:tc>
      </w:tr>
      <w:tr w:rsidR="00615732" w:rsidTr="004E5D4D">
        <w:tc>
          <w:tcPr>
            <w:tcW w:w="1809" w:type="dxa"/>
          </w:tcPr>
          <w:p w:rsidR="00615732" w:rsidRDefault="00615732" w:rsidP="00615732">
            <w:pPr>
              <w:rPr>
                <w:rFonts w:ascii="Arial" w:hAnsi="Arial" w:cs="Arial"/>
              </w:rPr>
            </w:pPr>
            <w:r w:rsidRPr="00615732">
              <w:rPr>
                <w:rFonts w:ascii="Arial" w:hAnsi="Arial" w:cs="Arial"/>
              </w:rPr>
              <w:t>15 01 07</w:t>
            </w:r>
          </w:p>
        </w:tc>
        <w:tc>
          <w:tcPr>
            <w:tcW w:w="3402" w:type="dxa"/>
          </w:tcPr>
          <w:p w:rsidR="00615732" w:rsidRDefault="00615732" w:rsidP="00615732">
            <w:pPr>
              <w:rPr>
                <w:rFonts w:ascii="Arial" w:hAnsi="Arial" w:cs="Arial"/>
              </w:rPr>
            </w:pPr>
            <w:r w:rsidRPr="00615732">
              <w:rPr>
                <w:rFonts w:ascii="Arial" w:hAnsi="Arial" w:cs="Arial"/>
              </w:rPr>
              <w:t>Csomagolási üveg-hulladékok</w:t>
            </w:r>
          </w:p>
        </w:tc>
        <w:tc>
          <w:tcPr>
            <w:tcW w:w="4001" w:type="dxa"/>
          </w:tcPr>
          <w:p w:rsidR="00615732" w:rsidRDefault="00615732" w:rsidP="00615732">
            <w:pPr>
              <w:rPr>
                <w:rFonts w:ascii="Arial" w:hAnsi="Arial" w:cs="Arial"/>
              </w:rPr>
            </w:pPr>
          </w:p>
        </w:tc>
      </w:tr>
      <w:tr w:rsidR="00615732" w:rsidTr="004E5D4D">
        <w:tc>
          <w:tcPr>
            <w:tcW w:w="1809" w:type="dxa"/>
          </w:tcPr>
          <w:p w:rsidR="00615732" w:rsidRPr="00615732" w:rsidRDefault="004E5D4D" w:rsidP="00615732">
            <w:pPr>
              <w:rPr>
                <w:rFonts w:ascii="Arial" w:hAnsi="Arial" w:cs="Arial"/>
              </w:rPr>
            </w:pPr>
            <w:r w:rsidRPr="00615732">
              <w:rPr>
                <w:rFonts w:ascii="Arial" w:hAnsi="Arial" w:cs="Arial"/>
              </w:rPr>
              <w:t xml:space="preserve">17 01 </w:t>
            </w:r>
            <w:proofErr w:type="spellStart"/>
            <w:r w:rsidRPr="00615732">
              <w:rPr>
                <w:rFonts w:ascii="Arial" w:hAnsi="Arial" w:cs="Arial"/>
              </w:rPr>
              <w:t>01</w:t>
            </w:r>
            <w:proofErr w:type="spellEnd"/>
          </w:p>
        </w:tc>
        <w:tc>
          <w:tcPr>
            <w:tcW w:w="3402" w:type="dxa"/>
          </w:tcPr>
          <w:p w:rsidR="00615732" w:rsidRDefault="004E5D4D" w:rsidP="00615732">
            <w:pPr>
              <w:rPr>
                <w:rFonts w:ascii="Arial" w:hAnsi="Arial" w:cs="Arial"/>
              </w:rPr>
            </w:pPr>
            <w:r w:rsidRPr="00615732">
              <w:rPr>
                <w:rFonts w:ascii="Arial" w:hAnsi="Arial" w:cs="Arial"/>
              </w:rPr>
              <w:t>Beton</w:t>
            </w:r>
          </w:p>
        </w:tc>
        <w:tc>
          <w:tcPr>
            <w:tcW w:w="4001" w:type="dxa"/>
          </w:tcPr>
          <w:p w:rsidR="00615732" w:rsidRDefault="004E5D4D" w:rsidP="00615732">
            <w:pPr>
              <w:rPr>
                <w:rFonts w:ascii="Arial" w:hAnsi="Arial" w:cs="Arial"/>
              </w:rPr>
            </w:pPr>
            <w:r w:rsidRPr="00615732">
              <w:rPr>
                <w:rFonts w:ascii="Arial" w:hAnsi="Arial" w:cs="Arial"/>
              </w:rPr>
              <w:t>Elkülönített építési és bontási hulladékok*</w:t>
            </w:r>
          </w:p>
        </w:tc>
      </w:tr>
      <w:tr w:rsidR="00615732" w:rsidTr="004E5D4D">
        <w:tc>
          <w:tcPr>
            <w:tcW w:w="1809" w:type="dxa"/>
          </w:tcPr>
          <w:p w:rsidR="00615732" w:rsidRPr="00615732" w:rsidRDefault="004E5D4D" w:rsidP="00615732">
            <w:pPr>
              <w:rPr>
                <w:rFonts w:ascii="Arial" w:hAnsi="Arial" w:cs="Arial"/>
              </w:rPr>
            </w:pPr>
            <w:r w:rsidRPr="00615732">
              <w:rPr>
                <w:rFonts w:ascii="Arial" w:hAnsi="Arial" w:cs="Arial"/>
              </w:rPr>
              <w:t>17 01 02</w:t>
            </w:r>
          </w:p>
        </w:tc>
        <w:tc>
          <w:tcPr>
            <w:tcW w:w="3402" w:type="dxa"/>
          </w:tcPr>
          <w:p w:rsidR="00615732" w:rsidRDefault="004E5D4D" w:rsidP="00615732">
            <w:pPr>
              <w:rPr>
                <w:rFonts w:ascii="Arial" w:hAnsi="Arial" w:cs="Arial"/>
              </w:rPr>
            </w:pPr>
            <w:r w:rsidRPr="00615732">
              <w:rPr>
                <w:rFonts w:ascii="Arial" w:hAnsi="Arial" w:cs="Arial"/>
              </w:rPr>
              <w:t>Tégla</w:t>
            </w:r>
          </w:p>
        </w:tc>
        <w:tc>
          <w:tcPr>
            <w:tcW w:w="4001" w:type="dxa"/>
          </w:tcPr>
          <w:p w:rsidR="00615732" w:rsidRDefault="004E5D4D" w:rsidP="00615732">
            <w:pPr>
              <w:rPr>
                <w:rFonts w:ascii="Arial" w:hAnsi="Arial" w:cs="Arial"/>
              </w:rPr>
            </w:pPr>
            <w:r w:rsidRPr="00615732">
              <w:rPr>
                <w:rFonts w:ascii="Arial" w:hAnsi="Arial" w:cs="Arial"/>
              </w:rPr>
              <w:t>Elkülönített építési és bontási hulladékok*</w:t>
            </w:r>
          </w:p>
        </w:tc>
      </w:tr>
      <w:tr w:rsidR="00615732" w:rsidTr="004E5D4D">
        <w:tc>
          <w:tcPr>
            <w:tcW w:w="1809" w:type="dxa"/>
          </w:tcPr>
          <w:p w:rsidR="00615732" w:rsidRPr="00615732" w:rsidRDefault="004E5D4D" w:rsidP="00615732">
            <w:pPr>
              <w:rPr>
                <w:rFonts w:ascii="Arial" w:hAnsi="Arial" w:cs="Arial"/>
              </w:rPr>
            </w:pPr>
            <w:r w:rsidRPr="00615732">
              <w:rPr>
                <w:rFonts w:ascii="Arial" w:hAnsi="Arial" w:cs="Arial"/>
              </w:rPr>
              <w:t>17 01 03</w:t>
            </w:r>
          </w:p>
        </w:tc>
        <w:tc>
          <w:tcPr>
            <w:tcW w:w="3402" w:type="dxa"/>
          </w:tcPr>
          <w:p w:rsidR="00615732" w:rsidRDefault="004E5D4D" w:rsidP="004E5D4D">
            <w:pPr>
              <w:rPr>
                <w:rFonts w:ascii="Arial" w:hAnsi="Arial" w:cs="Arial"/>
              </w:rPr>
            </w:pPr>
            <w:r w:rsidRPr="00615732">
              <w:rPr>
                <w:rFonts w:ascii="Arial" w:hAnsi="Arial" w:cs="Arial"/>
              </w:rPr>
              <w:t>Cserép és kerámi</w:t>
            </w:r>
            <w:r>
              <w:rPr>
                <w:rFonts w:ascii="Arial" w:hAnsi="Arial" w:cs="Arial"/>
              </w:rPr>
              <w:t>ák</w:t>
            </w:r>
          </w:p>
        </w:tc>
        <w:tc>
          <w:tcPr>
            <w:tcW w:w="4001" w:type="dxa"/>
          </w:tcPr>
          <w:p w:rsidR="00615732" w:rsidRDefault="004E5D4D" w:rsidP="00615732">
            <w:pPr>
              <w:rPr>
                <w:rFonts w:ascii="Arial" w:hAnsi="Arial" w:cs="Arial"/>
              </w:rPr>
            </w:pPr>
            <w:r w:rsidRPr="00615732">
              <w:rPr>
                <w:rFonts w:ascii="Arial" w:hAnsi="Arial" w:cs="Arial"/>
              </w:rPr>
              <w:t>Elkülönített építési és bontási hulladékok*</w:t>
            </w:r>
          </w:p>
        </w:tc>
      </w:tr>
      <w:tr w:rsidR="00615732" w:rsidTr="004E5D4D">
        <w:tc>
          <w:tcPr>
            <w:tcW w:w="1809" w:type="dxa"/>
          </w:tcPr>
          <w:p w:rsidR="00615732" w:rsidRPr="00615732" w:rsidRDefault="004E5D4D" w:rsidP="00615732">
            <w:pPr>
              <w:rPr>
                <w:rFonts w:ascii="Arial" w:hAnsi="Arial" w:cs="Arial"/>
              </w:rPr>
            </w:pPr>
            <w:r w:rsidRPr="00615732">
              <w:rPr>
                <w:rFonts w:ascii="Arial" w:hAnsi="Arial" w:cs="Arial"/>
              </w:rPr>
              <w:t>17 01 07</w:t>
            </w:r>
          </w:p>
        </w:tc>
        <w:tc>
          <w:tcPr>
            <w:tcW w:w="3402" w:type="dxa"/>
          </w:tcPr>
          <w:p w:rsidR="00615732" w:rsidRDefault="004E5D4D" w:rsidP="00615732">
            <w:pPr>
              <w:rPr>
                <w:rFonts w:ascii="Arial" w:hAnsi="Arial" w:cs="Arial"/>
              </w:rPr>
            </w:pPr>
            <w:r w:rsidRPr="00615732">
              <w:rPr>
                <w:rFonts w:ascii="Arial" w:hAnsi="Arial" w:cs="Arial"/>
              </w:rPr>
              <w:t>Beton, tégla, cserép és kerámia keveréke</w:t>
            </w:r>
          </w:p>
        </w:tc>
        <w:tc>
          <w:tcPr>
            <w:tcW w:w="4001" w:type="dxa"/>
          </w:tcPr>
          <w:p w:rsidR="00615732" w:rsidRDefault="004E5D4D" w:rsidP="00615732">
            <w:pPr>
              <w:rPr>
                <w:rFonts w:ascii="Arial" w:hAnsi="Arial" w:cs="Arial"/>
              </w:rPr>
            </w:pPr>
            <w:r w:rsidRPr="00615732">
              <w:rPr>
                <w:rFonts w:ascii="Arial" w:hAnsi="Arial" w:cs="Arial"/>
              </w:rPr>
              <w:t>Elkülönített építési és bontási hulladékok*</w:t>
            </w:r>
          </w:p>
        </w:tc>
      </w:tr>
      <w:tr w:rsidR="00615732" w:rsidTr="004E5D4D">
        <w:tc>
          <w:tcPr>
            <w:tcW w:w="1809" w:type="dxa"/>
          </w:tcPr>
          <w:p w:rsidR="00615732" w:rsidRPr="00615732" w:rsidRDefault="004E5D4D" w:rsidP="00615732">
            <w:pPr>
              <w:rPr>
                <w:rFonts w:ascii="Arial" w:hAnsi="Arial" w:cs="Arial"/>
              </w:rPr>
            </w:pPr>
            <w:r w:rsidRPr="00615732">
              <w:rPr>
                <w:rFonts w:ascii="Arial" w:hAnsi="Arial" w:cs="Arial"/>
              </w:rPr>
              <w:t xml:space="preserve">17 02 </w:t>
            </w:r>
            <w:proofErr w:type="spellStart"/>
            <w:r w:rsidRPr="00615732">
              <w:rPr>
                <w:rFonts w:ascii="Arial" w:hAnsi="Arial" w:cs="Arial"/>
              </w:rPr>
              <w:t>02</w:t>
            </w:r>
            <w:proofErr w:type="spellEnd"/>
          </w:p>
        </w:tc>
        <w:tc>
          <w:tcPr>
            <w:tcW w:w="3402" w:type="dxa"/>
          </w:tcPr>
          <w:p w:rsidR="00615732" w:rsidRDefault="004E5D4D" w:rsidP="00615732">
            <w:pPr>
              <w:rPr>
                <w:rFonts w:ascii="Arial" w:hAnsi="Arial" w:cs="Arial"/>
              </w:rPr>
            </w:pPr>
            <w:r w:rsidRPr="00615732">
              <w:rPr>
                <w:rFonts w:ascii="Arial" w:hAnsi="Arial" w:cs="Arial"/>
              </w:rPr>
              <w:t>Üveg</w:t>
            </w:r>
          </w:p>
        </w:tc>
        <w:tc>
          <w:tcPr>
            <w:tcW w:w="4001" w:type="dxa"/>
          </w:tcPr>
          <w:p w:rsidR="00615732" w:rsidRDefault="00615732" w:rsidP="00615732">
            <w:pPr>
              <w:rPr>
                <w:rFonts w:ascii="Arial" w:hAnsi="Arial" w:cs="Arial"/>
              </w:rPr>
            </w:pPr>
          </w:p>
        </w:tc>
      </w:tr>
      <w:tr w:rsidR="00615732" w:rsidTr="004E5D4D">
        <w:tc>
          <w:tcPr>
            <w:tcW w:w="1809" w:type="dxa"/>
          </w:tcPr>
          <w:p w:rsidR="00615732" w:rsidRPr="00615732" w:rsidRDefault="004E5D4D" w:rsidP="00615732">
            <w:pPr>
              <w:rPr>
                <w:rFonts w:ascii="Arial" w:hAnsi="Arial" w:cs="Arial"/>
              </w:rPr>
            </w:pPr>
            <w:r w:rsidRPr="00615732">
              <w:rPr>
                <w:rFonts w:ascii="Arial" w:hAnsi="Arial" w:cs="Arial"/>
              </w:rPr>
              <w:t>17 05 04</w:t>
            </w:r>
          </w:p>
        </w:tc>
        <w:tc>
          <w:tcPr>
            <w:tcW w:w="3402" w:type="dxa"/>
          </w:tcPr>
          <w:p w:rsidR="00615732" w:rsidRDefault="004E5D4D" w:rsidP="00615732">
            <w:pPr>
              <w:rPr>
                <w:rFonts w:ascii="Arial" w:hAnsi="Arial" w:cs="Arial"/>
              </w:rPr>
            </w:pPr>
            <w:r w:rsidRPr="00615732">
              <w:rPr>
                <w:rFonts w:ascii="Arial" w:hAnsi="Arial" w:cs="Arial"/>
              </w:rPr>
              <w:t>Föld és kövek</w:t>
            </w:r>
          </w:p>
        </w:tc>
        <w:tc>
          <w:tcPr>
            <w:tcW w:w="4001" w:type="dxa"/>
          </w:tcPr>
          <w:p w:rsidR="00615732" w:rsidRDefault="004E5D4D" w:rsidP="00615732">
            <w:pPr>
              <w:rPr>
                <w:rFonts w:ascii="Arial" w:hAnsi="Arial" w:cs="Arial"/>
              </w:rPr>
            </w:pPr>
            <w:r w:rsidRPr="00615732">
              <w:rPr>
                <w:rFonts w:ascii="Arial" w:hAnsi="Arial" w:cs="Arial"/>
              </w:rPr>
              <w:t>A hulladék nem tartalmazhatja a talaj humuszos rétegét, tőzeget, továbbá szennyezett területről származó földet, köveket</w:t>
            </w:r>
          </w:p>
        </w:tc>
      </w:tr>
      <w:tr w:rsidR="004E5D4D" w:rsidTr="004E5D4D">
        <w:tc>
          <w:tcPr>
            <w:tcW w:w="1809" w:type="dxa"/>
          </w:tcPr>
          <w:p w:rsidR="004E5D4D" w:rsidRPr="00615732" w:rsidRDefault="004E5D4D" w:rsidP="00615732">
            <w:pPr>
              <w:rPr>
                <w:rFonts w:ascii="Arial" w:hAnsi="Arial" w:cs="Arial"/>
              </w:rPr>
            </w:pPr>
            <w:r w:rsidRPr="00615732">
              <w:rPr>
                <w:rFonts w:ascii="Arial" w:hAnsi="Arial" w:cs="Arial"/>
              </w:rPr>
              <w:t>19 12 05</w:t>
            </w:r>
          </w:p>
        </w:tc>
        <w:tc>
          <w:tcPr>
            <w:tcW w:w="3402" w:type="dxa"/>
          </w:tcPr>
          <w:p w:rsidR="004E5D4D" w:rsidRDefault="004E5D4D" w:rsidP="00615732">
            <w:pPr>
              <w:rPr>
                <w:rFonts w:ascii="Arial" w:hAnsi="Arial" w:cs="Arial"/>
              </w:rPr>
            </w:pPr>
            <w:r w:rsidRPr="00615732">
              <w:rPr>
                <w:rFonts w:ascii="Arial" w:hAnsi="Arial" w:cs="Arial"/>
              </w:rPr>
              <w:t>Üveg</w:t>
            </w:r>
          </w:p>
        </w:tc>
        <w:tc>
          <w:tcPr>
            <w:tcW w:w="4001" w:type="dxa"/>
          </w:tcPr>
          <w:p w:rsidR="004E5D4D" w:rsidRDefault="004E5D4D" w:rsidP="00615732">
            <w:pPr>
              <w:rPr>
                <w:rFonts w:ascii="Arial" w:hAnsi="Arial" w:cs="Arial"/>
              </w:rPr>
            </w:pPr>
          </w:p>
        </w:tc>
      </w:tr>
      <w:tr w:rsidR="004E5D4D" w:rsidTr="004E5D4D">
        <w:tc>
          <w:tcPr>
            <w:tcW w:w="1809" w:type="dxa"/>
          </w:tcPr>
          <w:p w:rsidR="004E5D4D" w:rsidRPr="00615732" w:rsidRDefault="004E5D4D" w:rsidP="00615732">
            <w:pPr>
              <w:rPr>
                <w:rFonts w:ascii="Arial" w:hAnsi="Arial" w:cs="Arial"/>
              </w:rPr>
            </w:pPr>
            <w:r w:rsidRPr="00615732">
              <w:rPr>
                <w:rFonts w:ascii="Arial" w:hAnsi="Arial" w:cs="Arial"/>
              </w:rPr>
              <w:t>20 01 02</w:t>
            </w:r>
          </w:p>
        </w:tc>
        <w:tc>
          <w:tcPr>
            <w:tcW w:w="3402" w:type="dxa"/>
          </w:tcPr>
          <w:p w:rsidR="004E5D4D" w:rsidRDefault="004E5D4D" w:rsidP="00615732">
            <w:pPr>
              <w:rPr>
                <w:rFonts w:ascii="Arial" w:hAnsi="Arial" w:cs="Arial"/>
              </w:rPr>
            </w:pPr>
            <w:r w:rsidRPr="00615732">
              <w:rPr>
                <w:rFonts w:ascii="Arial" w:hAnsi="Arial" w:cs="Arial"/>
              </w:rPr>
              <w:t>Üveg</w:t>
            </w:r>
          </w:p>
        </w:tc>
        <w:tc>
          <w:tcPr>
            <w:tcW w:w="4001" w:type="dxa"/>
          </w:tcPr>
          <w:p w:rsidR="004E5D4D" w:rsidRDefault="004E5D4D" w:rsidP="00615732">
            <w:pPr>
              <w:rPr>
                <w:rFonts w:ascii="Arial" w:hAnsi="Arial" w:cs="Arial"/>
              </w:rPr>
            </w:pPr>
            <w:r w:rsidRPr="00615732">
              <w:rPr>
                <w:rFonts w:ascii="Arial" w:hAnsi="Arial" w:cs="Arial"/>
              </w:rPr>
              <w:t>Elkülönített üveg</w:t>
            </w:r>
          </w:p>
        </w:tc>
      </w:tr>
      <w:tr w:rsidR="004E5D4D" w:rsidTr="004E5D4D">
        <w:tc>
          <w:tcPr>
            <w:tcW w:w="1809" w:type="dxa"/>
          </w:tcPr>
          <w:p w:rsidR="004E5D4D" w:rsidRPr="00615732" w:rsidRDefault="004E5D4D" w:rsidP="00615732">
            <w:pPr>
              <w:rPr>
                <w:rFonts w:ascii="Arial" w:hAnsi="Arial" w:cs="Arial"/>
              </w:rPr>
            </w:pPr>
            <w:r w:rsidRPr="00615732">
              <w:rPr>
                <w:rFonts w:ascii="Arial" w:hAnsi="Arial" w:cs="Arial"/>
              </w:rPr>
              <w:t xml:space="preserve">20 02 </w:t>
            </w:r>
            <w:proofErr w:type="spellStart"/>
            <w:r w:rsidRPr="00615732">
              <w:rPr>
                <w:rFonts w:ascii="Arial" w:hAnsi="Arial" w:cs="Arial"/>
              </w:rPr>
              <w:t>02</w:t>
            </w:r>
            <w:proofErr w:type="spellEnd"/>
          </w:p>
        </w:tc>
        <w:tc>
          <w:tcPr>
            <w:tcW w:w="3402" w:type="dxa"/>
          </w:tcPr>
          <w:p w:rsidR="004E5D4D" w:rsidRDefault="004E5D4D" w:rsidP="00615732">
            <w:pPr>
              <w:rPr>
                <w:rFonts w:ascii="Arial" w:hAnsi="Arial" w:cs="Arial"/>
              </w:rPr>
            </w:pPr>
            <w:r w:rsidRPr="00615732">
              <w:rPr>
                <w:rFonts w:ascii="Arial" w:hAnsi="Arial" w:cs="Arial"/>
              </w:rPr>
              <w:t>Talaj és kövek</w:t>
            </w:r>
          </w:p>
        </w:tc>
        <w:tc>
          <w:tcPr>
            <w:tcW w:w="4001" w:type="dxa"/>
          </w:tcPr>
          <w:p w:rsidR="004E5D4D" w:rsidRDefault="004E5D4D" w:rsidP="00615732">
            <w:pPr>
              <w:rPr>
                <w:rFonts w:ascii="Arial" w:hAnsi="Arial" w:cs="Arial"/>
              </w:rPr>
            </w:pPr>
            <w:r w:rsidRPr="00615732">
              <w:rPr>
                <w:rFonts w:ascii="Arial" w:hAnsi="Arial" w:cs="Arial"/>
              </w:rPr>
              <w:t>A hulladék csak kertekből, parkokból származhat, és nem lehet benne humusz, illetve tőzeg</w:t>
            </w:r>
          </w:p>
        </w:tc>
      </w:tr>
    </w:tbl>
    <w:p w:rsidR="00615732" w:rsidRDefault="00615732" w:rsidP="004E5D4D">
      <w:pPr>
        <w:spacing w:after="0"/>
        <w:rPr>
          <w:rFonts w:ascii="Arial" w:hAnsi="Arial" w:cs="Arial"/>
        </w:rPr>
      </w:pPr>
    </w:p>
    <w:p w:rsidR="004E5D4D" w:rsidRPr="004E5D4D" w:rsidRDefault="004E5D4D" w:rsidP="004E5D4D">
      <w:pPr>
        <w:jc w:val="both"/>
        <w:rPr>
          <w:rFonts w:ascii="Arial" w:hAnsi="Arial" w:cs="Arial"/>
        </w:rPr>
      </w:pPr>
      <w:r w:rsidRPr="004E5D4D">
        <w:rPr>
          <w:rFonts w:ascii="Arial" w:hAnsi="Arial" w:cs="Arial"/>
        </w:rPr>
        <w:t>* Az elkülönített építési és bontási hulladékok kis mennyiségben más összetevőket (pl. fémek, műanyagok, talaj, szerves anyagok, fa, gumi stb.) is tartalmazhatnak. A hulladék eredetét ismerni kell.</w:t>
      </w:r>
    </w:p>
    <w:p w:rsidR="004E5D4D" w:rsidRPr="00615732" w:rsidRDefault="004E5D4D" w:rsidP="004E5D4D">
      <w:pPr>
        <w:jc w:val="both"/>
        <w:rPr>
          <w:rFonts w:ascii="Arial" w:hAnsi="Arial" w:cs="Arial"/>
        </w:rPr>
      </w:pPr>
      <w:r w:rsidRPr="004E5D4D">
        <w:rPr>
          <w:rFonts w:ascii="Arial" w:hAnsi="Arial" w:cs="Arial"/>
        </w:rPr>
        <w:t>Nem tekinthető inert építési és bontási hulladéknak az a hulladék, amely külön jogszabályban szabályozott szerves vagy szervetlen veszélyes összetevőket (pl. azbesztet, bitument) tartalmaz vagy az építés során ilyen anyagokat használtak, illetve az épületben olyan termékeket tároltak vagy gyártottak, amelyekkel az építőanyagok szennyeződhettek, és emiatt a hulladék már nem tekinthető inertnek.</w:t>
      </w:r>
    </w:p>
    <w:sectPr w:rsidR="004E5D4D" w:rsidRPr="00615732" w:rsidSect="004E5D4D">
      <w:pgSz w:w="11906" w:h="16838"/>
      <w:pgMar w:top="851"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615732"/>
    <w:rsid w:val="004E5D4D"/>
    <w:rsid w:val="00615732"/>
    <w:rsid w:val="00DA1934"/>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DA1934"/>
  </w:style>
  <w:style w:type="character" w:default="1" w:styleId="Bekezdsalapbettpusa">
    <w:name w:val="Default Paragraph Font"/>
    <w:uiPriority w:val="1"/>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ormlWeb">
    <w:name w:val="Normal (Web)"/>
    <w:basedOn w:val="Norml"/>
    <w:uiPriority w:val="99"/>
    <w:semiHidden/>
    <w:unhideWhenUsed/>
    <w:rsid w:val="00615732"/>
    <w:pPr>
      <w:spacing w:before="100" w:beforeAutospacing="1" w:after="100" w:afterAutospacing="1" w:line="240" w:lineRule="auto"/>
    </w:pPr>
    <w:rPr>
      <w:rFonts w:ascii="Times New Roman" w:eastAsia="Times New Roman" w:hAnsi="Times New Roman" w:cs="Times New Roman"/>
      <w:sz w:val="24"/>
      <w:szCs w:val="24"/>
      <w:lang w:eastAsia="hu-HU"/>
    </w:rPr>
  </w:style>
  <w:style w:type="table" w:styleId="Rcsostblzat">
    <w:name w:val="Table Grid"/>
    <w:basedOn w:val="Normltblzat"/>
    <w:uiPriority w:val="59"/>
    <w:rsid w:val="006157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62161827">
      <w:bodyDiv w:val="1"/>
      <w:marLeft w:val="0"/>
      <w:marRight w:val="0"/>
      <w:marTop w:val="0"/>
      <w:marBottom w:val="0"/>
      <w:divBdr>
        <w:top w:val="none" w:sz="0" w:space="0" w:color="auto"/>
        <w:left w:val="none" w:sz="0" w:space="0" w:color="auto"/>
        <w:bottom w:val="none" w:sz="0" w:space="0" w:color="auto"/>
        <w:right w:val="none" w:sz="0" w:space="0" w:color="auto"/>
      </w:divBdr>
    </w:div>
    <w:div w:id="1556165551">
      <w:bodyDiv w:val="1"/>
      <w:marLeft w:val="0"/>
      <w:marRight w:val="0"/>
      <w:marTop w:val="0"/>
      <w:marBottom w:val="0"/>
      <w:divBdr>
        <w:top w:val="none" w:sz="0" w:space="0" w:color="auto"/>
        <w:left w:val="none" w:sz="0" w:space="0" w:color="auto"/>
        <w:bottom w:val="none" w:sz="0" w:space="0" w:color="auto"/>
        <w:right w:val="none" w:sz="0" w:space="0" w:color="auto"/>
      </w:divBdr>
    </w:div>
    <w:div w:id="1747068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278</Words>
  <Characters>1920</Characters>
  <Application>Microsoft Office Word</Application>
  <DocSecurity>0</DocSecurity>
  <Lines>16</Lines>
  <Paragraphs>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ÁrvayP</dc:creator>
  <cp:keywords/>
  <dc:description/>
  <cp:lastModifiedBy> ÁrvayP</cp:lastModifiedBy>
  <cp:revision>1</cp:revision>
  <dcterms:created xsi:type="dcterms:W3CDTF">2015-06-05T13:03:00Z</dcterms:created>
  <dcterms:modified xsi:type="dcterms:W3CDTF">2015-06-05T13:20:00Z</dcterms:modified>
</cp:coreProperties>
</file>